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45A34" w14:textId="719B71FB" w:rsidR="001153D8" w:rsidRPr="0006799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067996">
        <w:rPr>
          <w:rFonts w:eastAsia="MS Mincho" w:cs="Arial"/>
          <w:b/>
          <w:bCs/>
          <w:sz w:val="22"/>
          <w:szCs w:val="22"/>
          <w:lang w:val="en-US"/>
        </w:rPr>
        <w:t>3GPP TSG-RAN WG2 Meeting #</w:t>
      </w:r>
      <w:r w:rsidR="001C1C0E" w:rsidRPr="00067996">
        <w:rPr>
          <w:rFonts w:eastAsia="MS Mincho" w:cs="Arial"/>
          <w:b/>
          <w:bCs/>
          <w:sz w:val="22"/>
          <w:szCs w:val="22"/>
          <w:lang w:val="en-US"/>
        </w:rPr>
        <w:t>11</w:t>
      </w:r>
      <w:r w:rsidR="006F1F86" w:rsidRPr="00067996">
        <w:rPr>
          <w:rFonts w:eastAsia="MS Mincho" w:cs="Arial"/>
          <w:b/>
          <w:bCs/>
          <w:sz w:val="22"/>
          <w:szCs w:val="22"/>
          <w:lang w:val="en-US"/>
        </w:rPr>
        <w:t>6</w:t>
      </w:r>
      <w:r w:rsidR="00490BAE">
        <w:rPr>
          <w:rFonts w:eastAsia="MS Mincho" w:cs="Arial"/>
          <w:b/>
          <w:bCs/>
          <w:sz w:val="22"/>
          <w:szCs w:val="22"/>
          <w:lang w:val="en-US"/>
        </w:rPr>
        <w:t>bis</w:t>
      </w:r>
      <w:r w:rsidR="006F1F86" w:rsidRPr="00067996">
        <w:rPr>
          <w:rFonts w:eastAsia="MS Mincho" w:cs="Arial"/>
          <w:b/>
          <w:bCs/>
          <w:sz w:val="22"/>
          <w:szCs w:val="22"/>
          <w:lang w:val="en-US"/>
        </w:rPr>
        <w:t>-</w:t>
      </w:r>
      <w:r w:rsidRPr="00067996">
        <w:rPr>
          <w:rFonts w:eastAsia="MS Mincho" w:cs="Arial"/>
          <w:b/>
          <w:bCs/>
          <w:sz w:val="22"/>
          <w:szCs w:val="22"/>
          <w:lang w:val="en-US"/>
        </w:rPr>
        <w:t>e</w:t>
      </w:r>
      <w:r w:rsidRPr="00067996">
        <w:rPr>
          <w:b/>
          <w:i/>
          <w:noProof/>
          <w:sz w:val="28"/>
        </w:rPr>
        <w:tab/>
      </w:r>
      <w:r w:rsidR="00DF0976" w:rsidRPr="00067996">
        <w:rPr>
          <w:rFonts w:eastAsia="MS Mincho" w:cs="Arial"/>
          <w:b/>
          <w:sz w:val="22"/>
          <w:szCs w:val="22"/>
          <w:lang w:val="en-US"/>
        </w:rPr>
        <w:t>R2-2</w:t>
      </w:r>
      <w:r w:rsidR="0006022C">
        <w:rPr>
          <w:rFonts w:eastAsia="MS Mincho" w:cs="Arial"/>
          <w:b/>
          <w:sz w:val="22"/>
          <w:szCs w:val="22"/>
          <w:lang w:val="en-US"/>
        </w:rPr>
        <w:t>2</w:t>
      </w:r>
      <w:r w:rsidR="000C57AE" w:rsidRPr="000C57AE">
        <w:rPr>
          <w:rFonts w:eastAsia="MS Mincho" w:cs="Arial"/>
          <w:b/>
          <w:sz w:val="22"/>
          <w:szCs w:val="22"/>
          <w:lang w:val="en-US"/>
        </w:rPr>
        <w:t>00807</w:t>
      </w:r>
    </w:p>
    <w:p w14:paraId="63E548A4" w14:textId="33AF927D" w:rsidR="001153D8" w:rsidRPr="00067996" w:rsidRDefault="001153D8" w:rsidP="001153D8">
      <w:pPr>
        <w:pStyle w:val="CRCoverPage"/>
        <w:tabs>
          <w:tab w:val="right" w:pos="9639"/>
        </w:tabs>
        <w:spacing w:after="0"/>
        <w:rPr>
          <w:rFonts w:eastAsia="MS Mincho" w:cs="Arial"/>
          <w:b/>
          <w:bCs/>
          <w:sz w:val="22"/>
          <w:szCs w:val="22"/>
          <w:lang w:val="en-US"/>
        </w:rPr>
      </w:pPr>
      <w:r w:rsidRPr="00067996">
        <w:rPr>
          <w:rFonts w:eastAsia="MS Mincho" w:cs="Arial"/>
          <w:b/>
          <w:bCs/>
          <w:sz w:val="22"/>
          <w:szCs w:val="22"/>
          <w:lang w:val="en-US"/>
        </w:rPr>
        <w:t xml:space="preserve">Online, </w:t>
      </w:r>
      <w:r w:rsidR="006F1F86" w:rsidRPr="00067996">
        <w:rPr>
          <w:rFonts w:eastAsia="等线"/>
          <w:b/>
          <w:noProof/>
          <w:sz w:val="22"/>
          <w:szCs w:val="22"/>
        </w:rPr>
        <w:t>1</w:t>
      </w:r>
      <w:r w:rsidR="0006022C">
        <w:rPr>
          <w:rFonts w:eastAsia="等线"/>
          <w:b/>
          <w:noProof/>
          <w:sz w:val="22"/>
          <w:szCs w:val="22"/>
        </w:rPr>
        <w:t>7</w:t>
      </w:r>
      <w:r w:rsidR="006F1F86" w:rsidRPr="00067996">
        <w:rPr>
          <w:rFonts w:eastAsia="等线"/>
          <w:b/>
          <w:noProof/>
          <w:sz w:val="22"/>
          <w:szCs w:val="22"/>
          <w:vertAlign w:val="superscript"/>
        </w:rPr>
        <w:t>t</w:t>
      </w:r>
      <w:r w:rsidR="0006022C">
        <w:rPr>
          <w:rFonts w:eastAsia="等线"/>
          <w:b/>
          <w:noProof/>
          <w:sz w:val="22"/>
          <w:szCs w:val="22"/>
          <w:vertAlign w:val="superscript"/>
        </w:rPr>
        <w:t>h</w:t>
      </w:r>
      <w:r w:rsidR="006F1F86" w:rsidRPr="00067996">
        <w:rPr>
          <w:rFonts w:eastAsia="等线"/>
          <w:b/>
          <w:noProof/>
          <w:sz w:val="22"/>
          <w:szCs w:val="22"/>
        </w:rPr>
        <w:t xml:space="preserve"> – 2</w:t>
      </w:r>
      <w:r w:rsidR="0006022C">
        <w:rPr>
          <w:rFonts w:eastAsia="等线"/>
          <w:b/>
          <w:noProof/>
          <w:sz w:val="22"/>
          <w:szCs w:val="22"/>
        </w:rPr>
        <w:t>5</w:t>
      </w:r>
      <w:r w:rsidR="006F1F86" w:rsidRPr="00067996">
        <w:rPr>
          <w:rFonts w:eastAsia="等线"/>
          <w:b/>
          <w:noProof/>
          <w:sz w:val="22"/>
          <w:szCs w:val="22"/>
          <w:vertAlign w:val="superscript"/>
        </w:rPr>
        <w:t>th</w:t>
      </w:r>
      <w:r w:rsidR="006F1F86" w:rsidRPr="00067996">
        <w:rPr>
          <w:rFonts w:eastAsia="等线"/>
          <w:b/>
          <w:noProof/>
          <w:sz w:val="22"/>
          <w:szCs w:val="22"/>
        </w:rPr>
        <w:t xml:space="preserve"> </w:t>
      </w:r>
      <w:r w:rsidR="0006022C">
        <w:rPr>
          <w:rFonts w:eastAsia="等线"/>
          <w:b/>
          <w:noProof/>
          <w:sz w:val="22"/>
          <w:szCs w:val="22"/>
        </w:rPr>
        <w:t>Jan</w:t>
      </w:r>
      <w:r w:rsidR="006F1F86" w:rsidRPr="00067996">
        <w:rPr>
          <w:rFonts w:eastAsia="等线"/>
          <w:b/>
          <w:noProof/>
          <w:sz w:val="22"/>
          <w:szCs w:val="22"/>
        </w:rPr>
        <w:t xml:space="preserve"> 202</w:t>
      </w:r>
      <w:r w:rsidR="0006022C">
        <w:rPr>
          <w:rFonts w:eastAsia="等线"/>
          <w:b/>
          <w:noProof/>
          <w:sz w:val="22"/>
          <w:szCs w:val="22"/>
        </w:rPr>
        <w:t>2</w:t>
      </w:r>
    </w:p>
    <w:bookmarkEnd w:id="0"/>
    <w:bookmarkEnd w:id="1"/>
    <w:p w14:paraId="6CBABF81" w14:textId="4D3F754B" w:rsidR="007C5BDB" w:rsidRPr="00067996" w:rsidRDefault="00427F4C" w:rsidP="006E70FC">
      <w:pPr>
        <w:pStyle w:val="Header"/>
        <w:rPr>
          <w:rFonts w:eastAsia="宋体" w:cs="Arial"/>
          <w:bCs/>
          <w:sz w:val="22"/>
          <w:szCs w:val="22"/>
          <w:lang w:eastAsia="zh-CN"/>
        </w:rPr>
      </w:pPr>
      <w:r w:rsidRPr="00067996">
        <w:rPr>
          <w:rFonts w:eastAsia="宋体" w:cs="Arial"/>
          <w:bCs/>
          <w:sz w:val="22"/>
          <w:szCs w:val="22"/>
          <w:lang w:eastAsia="zh-CN"/>
        </w:rPr>
        <w:tab/>
      </w:r>
      <w:r w:rsidRPr="00067996">
        <w:rPr>
          <w:rFonts w:eastAsia="宋体" w:cs="Arial"/>
          <w:bCs/>
          <w:sz w:val="22"/>
          <w:szCs w:val="22"/>
          <w:lang w:eastAsia="zh-CN"/>
        </w:rPr>
        <w:tab/>
      </w:r>
    </w:p>
    <w:p w14:paraId="53519C57" w14:textId="77777777" w:rsidR="00EC289F" w:rsidRPr="00067996" w:rsidRDefault="00EC289F" w:rsidP="00F67832">
      <w:pPr>
        <w:pStyle w:val="Header"/>
        <w:jc w:val="both"/>
        <w:rPr>
          <w:rFonts w:eastAsia="宋体" w:cs="Arial"/>
          <w:bCs/>
          <w:sz w:val="22"/>
          <w:szCs w:val="22"/>
          <w:lang w:val="en-GB" w:eastAsia="zh-CN"/>
        </w:rPr>
      </w:pPr>
    </w:p>
    <w:p w14:paraId="7CE7A5C5" w14:textId="77777777" w:rsidR="000F57D5" w:rsidRPr="00067996" w:rsidRDefault="000F57D5" w:rsidP="00F67832">
      <w:pPr>
        <w:pStyle w:val="Header"/>
        <w:tabs>
          <w:tab w:val="clear" w:pos="4536"/>
          <w:tab w:val="left" w:pos="1800"/>
        </w:tabs>
        <w:ind w:left="1800" w:hanging="1800"/>
        <w:jc w:val="both"/>
        <w:rPr>
          <w:rFonts w:eastAsia="宋体"/>
          <w:sz w:val="22"/>
          <w:szCs w:val="22"/>
          <w:lang w:eastAsia="zh-CN"/>
        </w:rPr>
      </w:pPr>
      <w:r w:rsidRPr="00067996">
        <w:rPr>
          <w:rFonts w:cs="Arial"/>
          <w:sz w:val="22"/>
          <w:szCs w:val="22"/>
        </w:rPr>
        <w:t>Source:</w:t>
      </w:r>
      <w:r w:rsidRPr="00067996">
        <w:rPr>
          <w:rFonts w:cs="Arial"/>
          <w:sz w:val="22"/>
          <w:szCs w:val="22"/>
        </w:rPr>
        <w:tab/>
      </w:r>
      <w:r w:rsidR="00703A4A" w:rsidRPr="00067996">
        <w:rPr>
          <w:rFonts w:eastAsia="宋体"/>
          <w:sz w:val="22"/>
          <w:szCs w:val="22"/>
          <w:lang w:eastAsia="zh-CN"/>
        </w:rPr>
        <w:t>v</w:t>
      </w:r>
      <w:r w:rsidR="00156EF4" w:rsidRPr="00067996">
        <w:rPr>
          <w:rFonts w:eastAsia="宋体"/>
          <w:sz w:val="22"/>
          <w:szCs w:val="22"/>
          <w:lang w:eastAsia="zh-CN"/>
        </w:rPr>
        <w:t>ivo</w:t>
      </w:r>
    </w:p>
    <w:p w14:paraId="5DCF738C" w14:textId="3A69AF06" w:rsidR="00FC1927" w:rsidRPr="00067996" w:rsidRDefault="000F57D5" w:rsidP="00FC1927">
      <w:pPr>
        <w:pStyle w:val="Header"/>
        <w:tabs>
          <w:tab w:val="clear" w:pos="4536"/>
          <w:tab w:val="left" w:pos="1800"/>
        </w:tabs>
        <w:ind w:left="1798" w:hangingChars="814" w:hanging="1798"/>
        <w:jc w:val="both"/>
        <w:rPr>
          <w:rFonts w:cs="Arial"/>
          <w:sz w:val="22"/>
          <w:szCs w:val="22"/>
        </w:rPr>
      </w:pPr>
      <w:r w:rsidRPr="00067996">
        <w:rPr>
          <w:rFonts w:cs="Arial"/>
          <w:sz w:val="22"/>
          <w:szCs w:val="22"/>
        </w:rPr>
        <w:t>Title:</w:t>
      </w:r>
      <w:bookmarkStart w:id="2" w:name="Title"/>
      <w:bookmarkEnd w:id="2"/>
      <w:r w:rsidRPr="00067996">
        <w:rPr>
          <w:rFonts w:cs="Arial"/>
          <w:sz w:val="22"/>
          <w:szCs w:val="22"/>
        </w:rPr>
        <w:tab/>
      </w:r>
      <w:r w:rsidR="0006022C">
        <w:rPr>
          <w:rFonts w:cs="Arial"/>
          <w:sz w:val="22"/>
          <w:szCs w:val="22"/>
        </w:rPr>
        <w:t>Remaining</w:t>
      </w:r>
      <w:r w:rsidR="00A076B4" w:rsidRPr="00067996">
        <w:rPr>
          <w:rFonts w:cs="Arial"/>
          <w:sz w:val="22"/>
          <w:szCs w:val="22"/>
        </w:rPr>
        <w:t xml:space="preserve"> issues on CP-UP separation</w:t>
      </w:r>
    </w:p>
    <w:p w14:paraId="7A909ACC" w14:textId="3F1916D5" w:rsidR="000F57D5" w:rsidRPr="00067996" w:rsidRDefault="000F57D5" w:rsidP="00FC1927">
      <w:pPr>
        <w:pStyle w:val="Header"/>
        <w:tabs>
          <w:tab w:val="clear" w:pos="4536"/>
          <w:tab w:val="left" w:pos="1800"/>
        </w:tabs>
        <w:ind w:left="1798" w:hangingChars="814" w:hanging="1798"/>
        <w:jc w:val="both"/>
        <w:rPr>
          <w:rFonts w:eastAsia="宋体"/>
          <w:sz w:val="22"/>
          <w:szCs w:val="22"/>
          <w:lang w:eastAsia="zh-CN"/>
        </w:rPr>
      </w:pPr>
      <w:r w:rsidRPr="00067996">
        <w:rPr>
          <w:rFonts w:cs="Arial"/>
          <w:sz w:val="22"/>
          <w:szCs w:val="22"/>
        </w:rPr>
        <w:t>Agenda Item:</w:t>
      </w:r>
      <w:bookmarkStart w:id="3" w:name="Source"/>
      <w:bookmarkEnd w:id="3"/>
      <w:r w:rsidRPr="00067996">
        <w:rPr>
          <w:rFonts w:cs="Arial"/>
          <w:sz w:val="22"/>
          <w:szCs w:val="22"/>
        </w:rPr>
        <w:tab/>
      </w:r>
      <w:r w:rsidR="00AD1797" w:rsidRPr="00C452F2">
        <w:rPr>
          <w:rFonts w:eastAsia="宋体" w:cs="Arial"/>
          <w:sz w:val="22"/>
          <w:szCs w:val="22"/>
          <w:lang w:eastAsia="zh-CN"/>
        </w:rPr>
        <w:t>8.</w:t>
      </w:r>
      <w:r w:rsidR="00C452F2" w:rsidRPr="00C452F2">
        <w:rPr>
          <w:rFonts w:eastAsia="宋体" w:cs="Arial"/>
          <w:sz w:val="22"/>
          <w:szCs w:val="22"/>
          <w:lang w:eastAsia="zh-CN"/>
        </w:rPr>
        <w:t>4</w:t>
      </w:r>
      <w:r w:rsidR="00AD1797" w:rsidRPr="00C452F2">
        <w:rPr>
          <w:rFonts w:eastAsia="宋体" w:cs="Arial"/>
          <w:sz w:val="22"/>
          <w:szCs w:val="22"/>
          <w:lang w:eastAsia="zh-CN"/>
        </w:rPr>
        <w:t>.</w:t>
      </w:r>
      <w:r w:rsidR="00C452F2" w:rsidRPr="00C452F2">
        <w:rPr>
          <w:rFonts w:eastAsia="宋体" w:cs="Arial"/>
          <w:sz w:val="22"/>
          <w:szCs w:val="22"/>
          <w:lang w:eastAsia="zh-CN"/>
        </w:rPr>
        <w:t>2.2</w:t>
      </w:r>
    </w:p>
    <w:p w14:paraId="188F7541" w14:textId="77777777" w:rsidR="00F04983" w:rsidRPr="00B915EE" w:rsidRDefault="000F57D5" w:rsidP="00F67832">
      <w:pPr>
        <w:pStyle w:val="Header"/>
        <w:tabs>
          <w:tab w:val="left" w:pos="1800"/>
        </w:tabs>
        <w:jc w:val="both"/>
        <w:rPr>
          <w:rFonts w:eastAsia="宋体" w:cs="Arial"/>
          <w:sz w:val="22"/>
          <w:szCs w:val="22"/>
          <w:lang w:eastAsia="zh-CN"/>
        </w:rPr>
      </w:pPr>
      <w:r w:rsidRPr="00067996">
        <w:rPr>
          <w:rFonts w:cs="Arial"/>
          <w:sz w:val="22"/>
          <w:szCs w:val="22"/>
        </w:rPr>
        <w:t>Document for:</w:t>
      </w:r>
      <w:r w:rsidRPr="00067996">
        <w:rPr>
          <w:rFonts w:cs="Arial"/>
          <w:sz w:val="22"/>
          <w:szCs w:val="22"/>
        </w:rPr>
        <w:tab/>
      </w:r>
      <w:bookmarkStart w:id="4" w:name="DocumentFor"/>
      <w:bookmarkEnd w:id="4"/>
      <w:r w:rsidR="00F04983" w:rsidRPr="00067996">
        <w:rPr>
          <w:rFonts w:cs="Arial"/>
          <w:sz w:val="22"/>
          <w:szCs w:val="22"/>
        </w:rPr>
        <w:t>Discussion</w:t>
      </w:r>
      <w:r w:rsidR="00F04983" w:rsidRPr="00067996">
        <w:rPr>
          <w:rFonts w:eastAsia="宋体" w:cs="Arial"/>
          <w:sz w:val="22"/>
          <w:szCs w:val="22"/>
          <w:lang w:eastAsia="zh-CN"/>
        </w:rPr>
        <w:t xml:space="preserve"> and Decision</w:t>
      </w:r>
    </w:p>
    <w:p w14:paraId="5291FCE1"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63BF0DE2" w14:textId="103BA4E7" w:rsidR="0006022C" w:rsidRDefault="0006022C" w:rsidP="00AF1FD1">
      <w:pPr>
        <w:spacing w:afterLines="50" w:after="120"/>
        <w:jc w:val="both"/>
        <w:rPr>
          <w:rFonts w:eastAsia="宋体"/>
          <w:lang w:eastAsia="zh-CN"/>
        </w:rPr>
      </w:pPr>
      <w:r>
        <w:rPr>
          <w:rFonts w:eastAsia="宋体"/>
          <w:lang w:eastAsia="zh-CN"/>
        </w:rPr>
        <w:t xml:space="preserve">At RAN2#116-e, RAN2 has reached the following agreements on </w:t>
      </w:r>
      <w:r w:rsidRPr="00067996">
        <w:rPr>
          <w:rFonts w:cs="Arial"/>
          <w:sz w:val="22"/>
          <w:szCs w:val="22"/>
        </w:rPr>
        <w:t>CP-UP separation</w:t>
      </w:r>
      <w:r>
        <w:rPr>
          <w:rFonts w:eastAsia="宋体"/>
          <w:lang w:eastAsia="zh-CN"/>
        </w:rPr>
        <w:t>:</w:t>
      </w:r>
    </w:p>
    <w:tbl>
      <w:tblPr>
        <w:tblStyle w:val="TableGrid"/>
        <w:tblW w:w="0" w:type="auto"/>
        <w:tblLook w:val="04A0" w:firstRow="1" w:lastRow="0" w:firstColumn="1" w:lastColumn="0" w:noHBand="0" w:noVBand="1"/>
      </w:tblPr>
      <w:tblGrid>
        <w:gridCol w:w="9060"/>
      </w:tblGrid>
      <w:tr w:rsidR="00EB7166" w14:paraId="0C047618" w14:textId="77777777" w:rsidTr="001D7F8C">
        <w:tc>
          <w:tcPr>
            <w:tcW w:w="9060" w:type="dxa"/>
          </w:tcPr>
          <w:p w14:paraId="05FFEE17" w14:textId="77777777" w:rsidR="0006022C" w:rsidRPr="00C62786" w:rsidRDefault="0006022C" w:rsidP="0006022C">
            <w:pPr>
              <w:pStyle w:val="Agreement"/>
              <w:ind w:left="1620"/>
              <w:rPr>
                <w:lang w:val="en-US" w:eastAsia="ko-KR"/>
              </w:rPr>
            </w:pPr>
            <w:r w:rsidRPr="00C62786">
              <w:rPr>
                <w:lang w:val="en-US" w:eastAsia="ko-KR"/>
              </w:rPr>
              <w:t xml:space="preserve">The configuration of F1-C traffic on the indication of the </w:t>
            </w:r>
            <w:proofErr w:type="spellStart"/>
            <w:r w:rsidRPr="00C62786">
              <w:rPr>
                <w:lang w:val="en-US" w:eastAsia="ko-KR"/>
              </w:rPr>
              <w:t>the</w:t>
            </w:r>
            <w:proofErr w:type="spellEnd"/>
            <w:r w:rsidRPr="00C62786">
              <w:rPr>
                <w:lang w:val="en-US" w:eastAsia="ko-KR"/>
              </w:rPr>
              <w:t xml:space="preserve"> leg(s) used for transferring the F1-C traffic is configured to IAB-MT by a new </w:t>
            </w:r>
            <w:proofErr w:type="gramStart"/>
            <w:r w:rsidRPr="00C62786">
              <w:rPr>
                <w:lang w:val="en-US" w:eastAsia="ko-KR"/>
              </w:rPr>
              <w:t>field ,</w:t>
            </w:r>
            <w:proofErr w:type="gramEnd"/>
            <w:r w:rsidRPr="00C62786">
              <w:rPr>
                <w:lang w:val="en-US" w:eastAsia="ko-KR"/>
              </w:rPr>
              <w:t xml:space="preserve"> e.g., </w:t>
            </w:r>
            <w:r w:rsidRPr="00C62786">
              <w:rPr>
                <w:i/>
                <w:iCs/>
                <w:lang w:val="en-US" w:eastAsia="ko-KR"/>
              </w:rPr>
              <w:t>f1c-TransferPath-r17</w:t>
            </w:r>
            <w:r w:rsidRPr="00C62786">
              <w:rPr>
                <w:lang w:val="en-US" w:eastAsia="ko-KR"/>
              </w:rPr>
              <w:t xml:space="preserve">  ENUMERATED {MCG, SCG, both}.</w:t>
            </w:r>
          </w:p>
          <w:p w14:paraId="465D9A68" w14:textId="77777777" w:rsidR="0006022C" w:rsidRPr="00C62786" w:rsidRDefault="0006022C" w:rsidP="0006022C">
            <w:pPr>
              <w:pStyle w:val="Agreement"/>
              <w:ind w:left="1620"/>
            </w:pPr>
            <w:r w:rsidRPr="00C62786">
              <w:t xml:space="preserve">As long as the BH RLC CH for F1-C on the indicated Cell Group is configured (the CG is indicated by the field </w:t>
            </w:r>
            <w:r w:rsidRPr="00C62786">
              <w:rPr>
                <w:rFonts w:eastAsia="Malgun Gothic"/>
                <w:i/>
                <w:iCs/>
                <w:lang w:val="en-US" w:eastAsia="ko-KR"/>
              </w:rPr>
              <w:t>f1c-TransferPath-r17</w:t>
            </w:r>
            <w:r w:rsidRPr="00C62786">
              <w:t xml:space="preserve">), IAB node can be aware of whether to use F1-C transferring over BH or F1-C transferring over RRC, i.e. F1-C-over-BAP is selected as long as BH RLC CH for F1-C on the indicated CG is configured. </w:t>
            </w:r>
          </w:p>
          <w:p w14:paraId="0FF96E83" w14:textId="77777777" w:rsidR="0006022C" w:rsidRPr="00C62786" w:rsidRDefault="0006022C" w:rsidP="0006022C">
            <w:pPr>
              <w:pStyle w:val="Agreement"/>
              <w:ind w:left="1620"/>
            </w:pPr>
            <w:r w:rsidRPr="00C62786">
              <w:t xml:space="preserve">It is not necessary for IAB-node to be aware whether the </w:t>
            </w:r>
            <w:proofErr w:type="spellStart"/>
            <w:r w:rsidRPr="00C62786">
              <w:t>gNB</w:t>
            </w:r>
            <w:proofErr w:type="spellEnd"/>
            <w:r w:rsidRPr="00C62786">
              <w:t xml:space="preserve"> allows “F1 over BAP” or only allows “F1-C over RRC” during cell (re)selection, in case the </w:t>
            </w:r>
            <w:proofErr w:type="spellStart"/>
            <w:r w:rsidRPr="00C62786">
              <w:t>gNB</w:t>
            </w:r>
            <w:proofErr w:type="spellEnd"/>
            <w:r w:rsidRPr="00C62786">
              <w:t xml:space="preserve"> broadcasts </w:t>
            </w:r>
            <w:proofErr w:type="spellStart"/>
            <w:r w:rsidRPr="00C62786">
              <w:rPr>
                <w:i/>
              </w:rPr>
              <w:t>iab</w:t>
            </w:r>
            <w:proofErr w:type="spellEnd"/>
            <w:r w:rsidRPr="00C62786">
              <w:rPr>
                <w:i/>
              </w:rPr>
              <w:t>-Support</w:t>
            </w:r>
            <w:r w:rsidRPr="00C62786">
              <w:t>.</w:t>
            </w:r>
          </w:p>
          <w:p w14:paraId="6F114C30" w14:textId="77777777" w:rsidR="0006022C" w:rsidRPr="00C62786" w:rsidRDefault="0006022C" w:rsidP="0006022C">
            <w:pPr>
              <w:pStyle w:val="Agreement"/>
              <w:ind w:left="1620"/>
              <w:rPr>
                <w:lang w:eastAsia="zh-CN"/>
              </w:rPr>
            </w:pPr>
            <w:r w:rsidRPr="00C62786">
              <w:rPr>
                <w:lang w:eastAsia="zh-CN"/>
              </w:rPr>
              <w:t>ONLY SRB2 is used for F1-C transport in CP/UP-separation scenario 1</w:t>
            </w:r>
            <w:r w:rsidRPr="00C62786">
              <w:t>.</w:t>
            </w:r>
          </w:p>
          <w:p w14:paraId="05A4BAE9" w14:textId="77777777" w:rsidR="0006022C" w:rsidRPr="00C62786" w:rsidRDefault="0006022C" w:rsidP="0006022C">
            <w:pPr>
              <w:pStyle w:val="Agreement"/>
              <w:ind w:left="1620"/>
            </w:pPr>
            <w:r w:rsidRPr="00C62786">
              <w:rPr>
                <w:lang w:eastAsia="zh-CN"/>
              </w:rPr>
              <w:t xml:space="preserve">ONLY </w:t>
            </w:r>
            <w:r w:rsidRPr="00C62786">
              <w:t>split SRB2</w:t>
            </w:r>
            <w:r w:rsidRPr="00C62786">
              <w:rPr>
                <w:lang w:eastAsia="zh-CN"/>
              </w:rPr>
              <w:t xml:space="preserve"> is used for F1-C transport in CP/UP-separation scenario </w:t>
            </w:r>
            <w:r w:rsidRPr="00C62786">
              <w:t>2</w:t>
            </w:r>
          </w:p>
          <w:p w14:paraId="1BA33EA9" w14:textId="77777777" w:rsidR="0006022C" w:rsidRPr="00C62786" w:rsidRDefault="0006022C" w:rsidP="0006022C">
            <w:pPr>
              <w:pStyle w:val="Agreement"/>
              <w:ind w:left="1620"/>
              <w:rPr>
                <w:lang w:eastAsia="ko-KR"/>
              </w:rPr>
            </w:pPr>
            <w:r w:rsidRPr="00C62786">
              <w:t xml:space="preserve">FFS if </w:t>
            </w:r>
            <w:proofErr w:type="gramStart"/>
            <w:r w:rsidRPr="00C62786">
              <w:rPr>
                <w:lang w:eastAsia="ko-KR"/>
              </w:rPr>
              <w:t>For</w:t>
            </w:r>
            <w:proofErr w:type="gramEnd"/>
            <w:r w:rsidRPr="00C62786">
              <w:rPr>
                <w:lang w:eastAsia="ko-KR"/>
              </w:rPr>
              <w:t xml:space="preserve"> IAB-MT’s RRC message that carries F1-C/F1-C related traffic, the IAB-MT use split SRB2 via SCG in scenario 2 if </w:t>
            </w:r>
            <w:r w:rsidRPr="00C62786">
              <w:rPr>
                <w:i/>
                <w:iCs/>
                <w:lang w:eastAsia="ko-KR"/>
              </w:rPr>
              <w:t>f1c-TransferPath-r17</w:t>
            </w:r>
            <w:r w:rsidRPr="00C62786">
              <w:rPr>
                <w:lang w:eastAsia="ko-KR"/>
              </w:rPr>
              <w:t xml:space="preserve"> indicates ‘</w:t>
            </w:r>
            <w:r w:rsidRPr="00C62786">
              <w:rPr>
                <w:i/>
                <w:iCs/>
                <w:lang w:eastAsia="ko-KR"/>
              </w:rPr>
              <w:t>SCG’</w:t>
            </w:r>
            <w:r w:rsidRPr="00C62786">
              <w:rPr>
                <w:lang w:eastAsia="ko-KR"/>
              </w:rPr>
              <w:t xml:space="preserve"> or ‘</w:t>
            </w:r>
            <w:r w:rsidRPr="00C62786">
              <w:rPr>
                <w:i/>
                <w:iCs/>
                <w:lang w:eastAsia="ko-KR"/>
              </w:rPr>
              <w:t>both’</w:t>
            </w:r>
            <w:r w:rsidRPr="00C62786">
              <w:rPr>
                <w:lang w:eastAsia="ko-KR"/>
              </w:rPr>
              <w:t xml:space="preserve"> regardless of the </w:t>
            </w:r>
            <w:proofErr w:type="spellStart"/>
            <w:r w:rsidRPr="00C62786">
              <w:rPr>
                <w:i/>
                <w:iCs/>
                <w:lang w:eastAsia="ko-KR"/>
              </w:rPr>
              <w:t>primaryPath</w:t>
            </w:r>
            <w:proofErr w:type="spellEnd"/>
            <w:r w:rsidRPr="00C62786">
              <w:rPr>
                <w:lang w:eastAsia="ko-KR"/>
              </w:rPr>
              <w:t xml:space="preserve"> configuration. FFS on how to capture this in specs.</w:t>
            </w:r>
          </w:p>
          <w:p w14:paraId="229011B8" w14:textId="16F97701" w:rsidR="00EB7166" w:rsidRDefault="0006022C" w:rsidP="0006022C">
            <w:pPr>
              <w:pStyle w:val="Agreement"/>
              <w:ind w:left="1620"/>
              <w:rPr>
                <w:lang w:val="en-US"/>
              </w:rPr>
            </w:pPr>
            <w:r w:rsidRPr="00C62786">
              <w:t xml:space="preserve">FFS if </w:t>
            </w:r>
            <w:proofErr w:type="gramStart"/>
            <w:r w:rsidRPr="00C62786">
              <w:t>In</w:t>
            </w:r>
            <w:proofErr w:type="gramEnd"/>
            <w:r w:rsidRPr="00C62786">
              <w:t xml:space="preserve"> case the split SRB2 RRC message contains both F1-C traffic and other information unrelated to IAB, the IAB-MT follows the configuration of F1-C transfer path (if configured) to transmit this RRC message.</w:t>
            </w:r>
          </w:p>
        </w:tc>
      </w:tr>
    </w:tbl>
    <w:p w14:paraId="30A63922" w14:textId="77777777" w:rsidR="0006022C" w:rsidRDefault="0006022C" w:rsidP="00AF1FD1">
      <w:pPr>
        <w:spacing w:beforeLines="50" w:before="120"/>
        <w:jc w:val="both"/>
        <w:rPr>
          <w:rFonts w:eastAsia="宋体"/>
          <w:lang w:eastAsia="zh-CN"/>
        </w:rPr>
      </w:pPr>
      <w:r>
        <w:rPr>
          <w:rFonts w:eastAsia="宋体"/>
          <w:lang w:eastAsia="zh-CN"/>
        </w:rPr>
        <w:t xml:space="preserve">This contribution further considers remaining issues on </w:t>
      </w:r>
      <w:r w:rsidRPr="00067996">
        <w:rPr>
          <w:rFonts w:cs="Arial"/>
          <w:sz w:val="22"/>
          <w:szCs w:val="22"/>
        </w:rPr>
        <w:t>CP-UP separation</w:t>
      </w:r>
      <w:r>
        <w:rPr>
          <w:rFonts w:eastAsia="宋体"/>
          <w:lang w:eastAsia="zh-CN"/>
        </w:rPr>
        <w:t xml:space="preserve"> such:</w:t>
      </w:r>
    </w:p>
    <w:p w14:paraId="221B9EA2" w14:textId="77777777" w:rsidR="0006022C" w:rsidRPr="0006022C" w:rsidRDefault="0006022C" w:rsidP="0006022C">
      <w:pPr>
        <w:numPr>
          <w:ilvl w:val="0"/>
          <w:numId w:val="18"/>
        </w:numPr>
        <w:overflowPunct w:val="0"/>
        <w:autoSpaceDE w:val="0"/>
        <w:autoSpaceDN w:val="0"/>
        <w:adjustRightInd w:val="0"/>
        <w:spacing w:before="60" w:after="60"/>
        <w:textAlignment w:val="baseline"/>
        <w:rPr>
          <w:szCs w:val="20"/>
          <w:lang w:val="x-none" w:eastAsia="x-none"/>
        </w:rPr>
      </w:pPr>
      <w:r w:rsidRPr="0006022C">
        <w:rPr>
          <w:szCs w:val="20"/>
          <w:lang w:val="x-none" w:eastAsia="x-none"/>
        </w:rPr>
        <w:t>Whether, f</w:t>
      </w:r>
      <w:r w:rsidRPr="0006022C">
        <w:rPr>
          <w:szCs w:val="20"/>
          <w:lang w:val="x-none" w:eastAsia="ko-KR"/>
        </w:rPr>
        <w:t xml:space="preserve">or scenario-2 where the IAB-MT uses split SRB2, the IAB-MT’s RRC message that carries F1-C/F1-C-related traffic uses the leg based on </w:t>
      </w:r>
      <w:r w:rsidRPr="0006022C">
        <w:rPr>
          <w:i/>
          <w:iCs/>
          <w:szCs w:val="20"/>
          <w:lang w:val="x-none" w:eastAsia="ko-KR"/>
        </w:rPr>
        <w:t>f1c-TransferPath-r17</w:t>
      </w:r>
      <w:r w:rsidRPr="0006022C">
        <w:rPr>
          <w:szCs w:val="20"/>
          <w:lang w:val="x-none" w:eastAsia="ko-KR"/>
        </w:rPr>
        <w:t xml:space="preserve"> configuration even if the other leg is indicated in the </w:t>
      </w:r>
      <w:proofErr w:type="spellStart"/>
      <w:r w:rsidRPr="0006022C">
        <w:rPr>
          <w:i/>
          <w:iCs/>
          <w:szCs w:val="20"/>
          <w:lang w:val="x-none" w:eastAsia="ko-KR"/>
        </w:rPr>
        <w:t>primaryPath</w:t>
      </w:r>
      <w:proofErr w:type="spellEnd"/>
      <w:r w:rsidRPr="0006022C">
        <w:rPr>
          <w:szCs w:val="20"/>
          <w:lang w:val="x-none" w:eastAsia="ko-KR"/>
        </w:rPr>
        <w:t xml:space="preserve"> configuration.</w:t>
      </w:r>
    </w:p>
    <w:p w14:paraId="0690F34C" w14:textId="77777777" w:rsidR="0006022C" w:rsidRPr="0006022C" w:rsidRDefault="0006022C" w:rsidP="0006022C">
      <w:pPr>
        <w:numPr>
          <w:ilvl w:val="0"/>
          <w:numId w:val="18"/>
        </w:numPr>
        <w:overflowPunct w:val="0"/>
        <w:autoSpaceDE w:val="0"/>
        <w:autoSpaceDN w:val="0"/>
        <w:adjustRightInd w:val="0"/>
        <w:spacing w:before="60" w:after="60"/>
        <w:textAlignment w:val="baseline"/>
        <w:rPr>
          <w:szCs w:val="20"/>
          <w:lang w:val="x-none" w:eastAsia="x-none"/>
        </w:rPr>
      </w:pPr>
      <w:r w:rsidRPr="0006022C">
        <w:rPr>
          <w:szCs w:val="20"/>
          <w:lang w:val="x-none" w:eastAsia="x-none"/>
        </w:rPr>
        <w:t>For the same scenario, what if the IAB-MT’s RRC message carries both, (1) F1-C traffic and (2) other information unrelated to F1-C.</w:t>
      </w:r>
    </w:p>
    <w:p w14:paraId="675C4CA2" w14:textId="4F826988" w:rsidR="009E688D" w:rsidRDefault="009E688D" w:rsidP="009E688D">
      <w:pPr>
        <w:numPr>
          <w:ilvl w:val="0"/>
          <w:numId w:val="18"/>
        </w:numPr>
        <w:overflowPunct w:val="0"/>
        <w:autoSpaceDE w:val="0"/>
        <w:autoSpaceDN w:val="0"/>
        <w:adjustRightInd w:val="0"/>
        <w:spacing w:before="60" w:after="60"/>
        <w:textAlignment w:val="baseline"/>
        <w:rPr>
          <w:szCs w:val="20"/>
          <w:lang w:val="x-none" w:eastAsia="x-none"/>
        </w:rPr>
      </w:pPr>
      <w:r w:rsidRPr="009E688D">
        <w:rPr>
          <w:szCs w:val="20"/>
          <w:lang w:val="x-none" w:eastAsia="x-none"/>
        </w:rPr>
        <w:t xml:space="preserve">In case the split SRB2 RRC message contains both F1-C traffic and other information unrelated to IAB, </w:t>
      </w:r>
      <w:r w:rsidR="0046757C">
        <w:rPr>
          <w:szCs w:val="20"/>
          <w:lang w:val="x-none" w:eastAsia="x-none"/>
        </w:rPr>
        <w:t xml:space="preserve">whether </w:t>
      </w:r>
      <w:r w:rsidRPr="009E688D">
        <w:rPr>
          <w:szCs w:val="20"/>
          <w:lang w:val="x-none" w:eastAsia="x-none"/>
        </w:rPr>
        <w:t>the IAB-MT follows the configuration of F1-C transfer path (if configured).</w:t>
      </w:r>
    </w:p>
    <w:p w14:paraId="3FFD4112" w14:textId="77777777" w:rsidR="00F04983" w:rsidRDefault="004C40E2" w:rsidP="002060DC">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lastRenderedPageBreak/>
        <w:t>Discussion</w:t>
      </w:r>
    </w:p>
    <w:p w14:paraId="56390538" w14:textId="24AFA0F2" w:rsidR="0001721B" w:rsidRDefault="0001721B" w:rsidP="002060DC">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CP/UP separation</w:t>
      </w:r>
    </w:p>
    <w:bookmarkStart w:id="7" w:name="_Toc68197810"/>
    <w:p w14:paraId="52032408" w14:textId="5EB7EC66" w:rsidR="00780211" w:rsidRPr="00CF4B47" w:rsidRDefault="00CF4B47" w:rsidP="002D7C27">
      <w:pPr>
        <w:rPr>
          <w:rFonts w:eastAsia="MS Mincho"/>
          <w:lang w:eastAsia="en-GB"/>
        </w:rPr>
      </w:pPr>
      <w:r w:rsidRPr="00CF4B47">
        <w:rPr>
          <w:rFonts w:eastAsia="MS Mincho"/>
          <w:lang w:eastAsia="en-GB"/>
        </w:rPr>
        <w:object w:dxaOrig="10629" w:dyaOrig="4895" w14:anchorId="2650B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45.45pt" o:ole="">
            <v:imagedata r:id="rId8" o:title=""/>
          </v:shape>
          <o:OLEObject Type="Embed" ProgID="Visio.Drawing.11" ShapeID="_x0000_i1025" DrawAspect="Content" ObjectID="_1703430914" r:id="rId9"/>
        </w:object>
      </w:r>
    </w:p>
    <w:p w14:paraId="3F8BF051" w14:textId="321C01BD" w:rsidR="00167792" w:rsidRPr="00CF4B47" w:rsidRDefault="00CF4B47" w:rsidP="00CF4B47">
      <w:pPr>
        <w:pStyle w:val="Doc-text2"/>
        <w:ind w:left="0" w:firstLine="0"/>
        <w:jc w:val="center"/>
        <w:rPr>
          <w:rFonts w:ascii="Times New Roman" w:hAnsi="Times New Roman"/>
          <w:lang w:val="en-US"/>
        </w:rPr>
      </w:pPr>
      <w:r w:rsidRPr="00CF4B47">
        <w:rPr>
          <w:rFonts w:ascii="Times New Roman" w:hAnsi="Times New Roman"/>
          <w:lang w:val="en-US"/>
        </w:rPr>
        <w:t>Figure 1: Topology adaptation scenario 1 (left) and scenario 2 (right)</w:t>
      </w:r>
    </w:p>
    <w:p w14:paraId="59B557D4" w14:textId="77777777" w:rsidR="00512777" w:rsidRDefault="00512777" w:rsidP="00512777">
      <w:pPr>
        <w:pStyle w:val="Doc-text2"/>
        <w:ind w:left="0" w:firstLine="0"/>
        <w:rPr>
          <w:rFonts w:ascii="Times New Roman" w:hAnsi="Times New Roman"/>
          <w:lang w:val="en-US"/>
        </w:rPr>
      </w:pPr>
    </w:p>
    <w:p w14:paraId="2B10197A" w14:textId="79F18288" w:rsidR="001A1A43" w:rsidRDefault="001A1A43" w:rsidP="001A1A43">
      <w:pPr>
        <w:pStyle w:val="CommentText"/>
        <w:rPr>
          <w:rFonts w:eastAsiaTheme="minorEastAsia"/>
          <w:lang w:eastAsia="zh-CN"/>
        </w:rPr>
      </w:pPr>
      <w:r w:rsidRPr="001A1A43">
        <w:rPr>
          <w:rFonts w:cs="Arial"/>
        </w:rPr>
        <w:t xml:space="preserve">On </w:t>
      </w:r>
      <w:r>
        <w:rPr>
          <w:rFonts w:cs="Arial"/>
        </w:rPr>
        <w:t>w</w:t>
      </w:r>
      <w:r w:rsidRPr="001A1A43">
        <w:rPr>
          <w:rFonts w:cs="Arial"/>
        </w:rPr>
        <w:t xml:space="preserve">hether, for scenario-2 where the IAB-MT uses split SRB2, the IAB-MT’s RRC message that carries F1-C/F1-C-related traffic uses the leg based on f1c-TransferPath-r17 configuration even if the other leg is indicated in the </w:t>
      </w:r>
      <w:proofErr w:type="spellStart"/>
      <w:r w:rsidRPr="004D7A2D">
        <w:rPr>
          <w:rFonts w:cs="Arial"/>
          <w:i/>
        </w:rPr>
        <w:t>primaryPath</w:t>
      </w:r>
      <w:proofErr w:type="spellEnd"/>
      <w:r w:rsidRPr="001A1A43">
        <w:rPr>
          <w:rFonts w:cs="Arial"/>
        </w:rPr>
        <w:t xml:space="preserve"> configuration.</w:t>
      </w:r>
      <w:r w:rsidRPr="001A1A43">
        <w:rPr>
          <w:rFonts w:eastAsiaTheme="minorEastAsia"/>
          <w:lang w:eastAsia="zh-CN"/>
        </w:rPr>
        <w:t xml:space="preserve"> </w:t>
      </w:r>
      <w:r>
        <w:rPr>
          <w:rFonts w:eastAsiaTheme="minorEastAsia"/>
          <w:lang w:eastAsia="zh-CN"/>
        </w:rPr>
        <w:t xml:space="preserve">The concern was raised by some companies that the IAB-MT should always follow the network configuration on </w:t>
      </w:r>
      <w:proofErr w:type="spellStart"/>
      <w:r w:rsidRPr="001A1A43">
        <w:rPr>
          <w:rFonts w:eastAsiaTheme="minorEastAsia"/>
          <w:i/>
          <w:lang w:eastAsia="zh-CN"/>
        </w:rPr>
        <w:t>primaryPath</w:t>
      </w:r>
      <w:proofErr w:type="spellEnd"/>
      <w:r>
        <w:rPr>
          <w:rFonts w:eastAsiaTheme="minorEastAsia"/>
          <w:lang w:eastAsia="zh-CN"/>
        </w:rPr>
        <w:t xml:space="preserve">. Network can configure the </w:t>
      </w:r>
      <w:proofErr w:type="spellStart"/>
      <w:r w:rsidRPr="001A1A43">
        <w:rPr>
          <w:rFonts w:eastAsiaTheme="minorEastAsia"/>
          <w:i/>
          <w:lang w:eastAsia="zh-CN"/>
        </w:rPr>
        <w:t>primaryPath</w:t>
      </w:r>
      <w:proofErr w:type="spellEnd"/>
      <w:r>
        <w:rPr>
          <w:rFonts w:eastAsiaTheme="minorEastAsia"/>
          <w:lang w:eastAsia="zh-CN"/>
        </w:rPr>
        <w:t xml:space="preserve"> of SRB2 to SCG so that the F1-C traffic can be transmitted via SCG. There is no need to specify this autonomous change of </w:t>
      </w:r>
      <w:proofErr w:type="spellStart"/>
      <w:r w:rsidRPr="001A1A43">
        <w:rPr>
          <w:rFonts w:eastAsiaTheme="minorEastAsia"/>
          <w:i/>
          <w:lang w:eastAsia="zh-CN"/>
        </w:rPr>
        <w:t>primaryPath</w:t>
      </w:r>
      <w:proofErr w:type="spellEnd"/>
      <w:r>
        <w:rPr>
          <w:rFonts w:eastAsiaTheme="minorEastAsia"/>
          <w:lang w:eastAsia="zh-CN"/>
        </w:rPr>
        <w:t xml:space="preserve">. This solution is feasible. But in our understanding, the autonomous change of </w:t>
      </w:r>
      <w:proofErr w:type="spellStart"/>
      <w:r w:rsidRPr="001A1A43">
        <w:rPr>
          <w:rFonts w:eastAsiaTheme="minorEastAsia"/>
          <w:i/>
          <w:lang w:eastAsia="zh-CN"/>
        </w:rPr>
        <w:t>primaryPath</w:t>
      </w:r>
      <w:proofErr w:type="spellEnd"/>
      <w:r>
        <w:rPr>
          <w:rFonts w:eastAsiaTheme="minorEastAsia"/>
          <w:lang w:eastAsia="zh-CN"/>
        </w:rPr>
        <w:t xml:space="preserve"> enables the IAB-MT to select the SCG only when the F1-C traffic is included in the RRC message. For the other cases, the IAB-MT just follows the legacy procedure. This is very similar to the MCG fast recovery case,</w:t>
      </w:r>
      <w:r>
        <w:t xml:space="preserve"> </w:t>
      </w:r>
      <w:r>
        <w:rPr>
          <w:rFonts w:eastAsiaTheme="minorEastAsia"/>
          <w:lang w:eastAsia="zh-CN"/>
        </w:rPr>
        <w:t xml:space="preserve">that the UE conditionally sets the </w:t>
      </w:r>
      <w:proofErr w:type="spellStart"/>
      <w:r w:rsidRPr="001A1A43">
        <w:rPr>
          <w:rFonts w:eastAsiaTheme="minorEastAsia"/>
          <w:i/>
          <w:lang w:eastAsia="zh-CN"/>
        </w:rPr>
        <w:t>primaryPath</w:t>
      </w:r>
      <w:proofErr w:type="spellEnd"/>
      <w:r>
        <w:rPr>
          <w:rFonts w:eastAsiaTheme="minorEastAsia"/>
          <w:lang w:eastAsia="zh-CN"/>
        </w:rPr>
        <w:t xml:space="preserve"> to refer to the SCG, but it is not necessarily to always do so.</w:t>
      </w:r>
    </w:p>
    <w:p w14:paraId="23AE222E" w14:textId="2BDCC7AE" w:rsidR="001A1A43" w:rsidRDefault="001A1A43" w:rsidP="001A1A43">
      <w:pPr>
        <w:pStyle w:val="CommentText"/>
        <w:rPr>
          <w:rFonts w:eastAsiaTheme="minorEastAsia"/>
          <w:lang w:eastAsia="zh-CN"/>
        </w:rPr>
      </w:pPr>
      <w:r>
        <w:rPr>
          <w:rFonts w:eastAsiaTheme="minorEastAsia"/>
          <w:lang w:eastAsia="zh-CN"/>
        </w:rPr>
        <w:t xml:space="preserve">Our opinion is that the raised solution is feasible, but that means all the RRC messages transmitted via SRB2 would be delivered via SCG, </w:t>
      </w:r>
      <w:r>
        <w:rPr>
          <w:rFonts w:eastAsiaTheme="minorEastAsia" w:hint="eastAsia"/>
          <w:lang w:eastAsia="zh-CN"/>
        </w:rPr>
        <w:t>whic</w:t>
      </w:r>
      <w:r>
        <w:rPr>
          <w:rFonts w:eastAsiaTheme="minorEastAsia"/>
          <w:lang w:eastAsia="zh-CN"/>
        </w:rPr>
        <w:t xml:space="preserve">h we consider not as desirable change to the current spec. </w:t>
      </w:r>
    </w:p>
    <w:p w14:paraId="264E4E62" w14:textId="77777777" w:rsidR="00871281" w:rsidRDefault="00871281" w:rsidP="00553054">
      <w:pPr>
        <w:pStyle w:val="BodyText"/>
        <w:rPr>
          <w:rFonts w:eastAsia="宋体"/>
          <w:szCs w:val="20"/>
          <w:lang w:eastAsia="zh-CN"/>
        </w:rPr>
      </w:pPr>
      <w:r>
        <w:rPr>
          <w:rFonts w:eastAsia="宋体"/>
          <w:szCs w:val="20"/>
          <w:lang w:eastAsia="zh-CN"/>
        </w:rPr>
        <w:t>Thus,</w:t>
      </w:r>
    </w:p>
    <w:p w14:paraId="6E3AE05D" w14:textId="1AE30B44" w:rsidR="00871281" w:rsidRPr="00B508CE" w:rsidRDefault="00871281" w:rsidP="00871281">
      <w:pPr>
        <w:pStyle w:val="BodyText"/>
        <w:ind w:left="1701" w:hanging="1701"/>
        <w:rPr>
          <w:b/>
          <w:bCs/>
          <w:color w:val="000000"/>
        </w:rPr>
      </w:pPr>
      <w:r w:rsidRPr="00B508CE">
        <w:rPr>
          <w:b/>
          <w:bCs/>
          <w:color w:val="000000"/>
        </w:rPr>
        <w:fldChar w:fldCharType="begin"/>
      </w:r>
      <w:r w:rsidRPr="00B508CE">
        <w:rPr>
          <w:b/>
          <w:bCs/>
          <w:color w:val="000000"/>
        </w:rPr>
        <w:instrText xml:space="preserve"> REF _Ref71490990 \r \h </w:instrText>
      </w:r>
      <w:r>
        <w:rPr>
          <w:b/>
          <w:bCs/>
          <w:color w:val="000000"/>
        </w:rPr>
        <w:instrText xml:space="preserve"> \* MERGEFORMAT </w:instrText>
      </w:r>
      <w:r w:rsidRPr="00B508CE">
        <w:rPr>
          <w:b/>
          <w:bCs/>
          <w:color w:val="000000"/>
        </w:rPr>
      </w:r>
      <w:r w:rsidRPr="00B508CE">
        <w:rPr>
          <w:b/>
          <w:bCs/>
          <w:color w:val="000000"/>
        </w:rPr>
        <w:fldChar w:fldCharType="separate"/>
      </w:r>
      <w:r>
        <w:rPr>
          <w:b/>
          <w:bCs/>
          <w:color w:val="000000"/>
        </w:rPr>
        <w:t>Observation 1</w:t>
      </w:r>
      <w:r w:rsidRPr="00B508CE">
        <w:rPr>
          <w:b/>
          <w:bCs/>
          <w:color w:val="000000"/>
        </w:rPr>
        <w:fldChar w:fldCharType="end"/>
      </w:r>
      <w:r w:rsidRPr="00B508CE">
        <w:rPr>
          <w:b/>
          <w:bCs/>
          <w:color w:val="000000"/>
        </w:rPr>
        <w:tab/>
      </w:r>
      <w:r>
        <w:rPr>
          <w:b/>
          <w:bCs/>
          <w:color w:val="000000"/>
        </w:rPr>
        <w:t>Specifying</w:t>
      </w:r>
      <w:r w:rsidRPr="00552392">
        <w:rPr>
          <w:b/>
          <w:bCs/>
          <w:color w:val="000000"/>
        </w:rPr>
        <w:t xml:space="preserve"> </w:t>
      </w:r>
      <w:r w:rsidR="00552392">
        <w:rPr>
          <w:b/>
          <w:bCs/>
          <w:color w:val="000000"/>
        </w:rPr>
        <w:t>n</w:t>
      </w:r>
      <w:r w:rsidRPr="00552392">
        <w:rPr>
          <w:b/>
          <w:bCs/>
          <w:color w:val="000000"/>
        </w:rPr>
        <w:t xml:space="preserve">etwork behavior to configure the </w:t>
      </w:r>
      <w:proofErr w:type="spellStart"/>
      <w:r w:rsidRPr="0041019D">
        <w:rPr>
          <w:b/>
          <w:bCs/>
          <w:i/>
          <w:color w:val="000000"/>
        </w:rPr>
        <w:t>primaryPath</w:t>
      </w:r>
      <w:proofErr w:type="spellEnd"/>
      <w:r w:rsidRPr="00552392">
        <w:rPr>
          <w:b/>
          <w:bCs/>
          <w:color w:val="000000"/>
        </w:rPr>
        <w:t xml:space="preserve"> of SRB2 to SCG so that the F1-C traffic can be transmitted via SCG is feasible but may induce unnecessary specification effort.</w:t>
      </w:r>
      <w:r>
        <w:rPr>
          <w:rFonts w:eastAsiaTheme="minorEastAsia"/>
          <w:lang w:eastAsia="zh-CN"/>
        </w:rPr>
        <w:t xml:space="preserve"> </w:t>
      </w:r>
    </w:p>
    <w:p w14:paraId="5AACDC9A" w14:textId="0B35A1E4" w:rsidR="00046B5A" w:rsidRDefault="00C62B72" w:rsidP="00553054">
      <w:pPr>
        <w:pStyle w:val="BodyText"/>
        <w:rPr>
          <w:rFonts w:eastAsia="Times New Roman" w:cs="Arial"/>
        </w:rPr>
      </w:pPr>
      <w:r>
        <w:rPr>
          <w:rFonts w:eastAsia="宋体"/>
          <w:szCs w:val="20"/>
          <w:lang w:eastAsia="zh-CN"/>
        </w:rPr>
        <w:t xml:space="preserve">If </w:t>
      </w:r>
      <w:r>
        <w:rPr>
          <w:rFonts w:eastAsia="Times New Roman" w:cs="Arial"/>
        </w:rPr>
        <w:t>split SRB</w:t>
      </w:r>
      <w:r w:rsidR="004E2F5A">
        <w:rPr>
          <w:rFonts w:eastAsia="Times New Roman" w:cs="Arial"/>
        </w:rPr>
        <w:t xml:space="preserve"> 2 is configured</w:t>
      </w:r>
      <w:r>
        <w:rPr>
          <w:rFonts w:eastAsia="Times New Roman" w:cs="Arial"/>
        </w:rPr>
        <w:t xml:space="preserve">, </w:t>
      </w:r>
      <w:r w:rsidR="004E2F5A">
        <w:rPr>
          <w:rFonts w:eastAsia="Times New Roman" w:cs="Arial"/>
        </w:rPr>
        <w:t xml:space="preserve">a </w:t>
      </w:r>
      <w:proofErr w:type="spellStart"/>
      <w:r w:rsidR="004E2F5A">
        <w:rPr>
          <w:i/>
        </w:rPr>
        <w:t>primaryPath</w:t>
      </w:r>
      <w:proofErr w:type="spellEnd"/>
      <w:r w:rsidR="004E2F5A">
        <w:rPr>
          <w:i/>
        </w:rPr>
        <w:t xml:space="preserve"> </w:t>
      </w:r>
      <w:r w:rsidR="004E2F5A">
        <w:t xml:space="preserve">for F1-C </w:t>
      </w:r>
      <w:r>
        <w:rPr>
          <w:rFonts w:eastAsia="Times New Roman" w:cs="Arial"/>
        </w:rPr>
        <w:t xml:space="preserve">transmission path </w:t>
      </w:r>
      <w:r w:rsidR="004E2F5A">
        <w:rPr>
          <w:rFonts w:eastAsia="Times New Roman" w:cs="Arial"/>
        </w:rPr>
        <w:t>should be</w:t>
      </w:r>
      <w:r>
        <w:rPr>
          <w:rFonts w:eastAsia="Times New Roman" w:cs="Arial"/>
        </w:rPr>
        <w:t xml:space="preserve"> determined</w:t>
      </w:r>
      <w:r w:rsidR="00046B5A">
        <w:rPr>
          <w:rFonts w:eastAsia="Times New Roman" w:cs="Arial"/>
        </w:rPr>
        <w:t xml:space="preserve"> in PDCP, as shown below:</w:t>
      </w:r>
    </w:p>
    <w:tbl>
      <w:tblPr>
        <w:tblStyle w:val="TableGrid"/>
        <w:tblW w:w="0" w:type="auto"/>
        <w:tblLook w:val="04A0" w:firstRow="1" w:lastRow="0" w:firstColumn="1" w:lastColumn="0" w:noHBand="0" w:noVBand="1"/>
      </w:tblPr>
      <w:tblGrid>
        <w:gridCol w:w="9060"/>
      </w:tblGrid>
      <w:tr w:rsidR="00046B5A" w14:paraId="0C7A50FF" w14:textId="77777777" w:rsidTr="00046B5A">
        <w:tc>
          <w:tcPr>
            <w:tcW w:w="9060" w:type="dxa"/>
          </w:tcPr>
          <w:p w14:paraId="6953EFC5" w14:textId="77777777" w:rsidR="00046B5A" w:rsidRPr="00DE5341" w:rsidRDefault="00046B5A" w:rsidP="00046B5A">
            <w:pPr>
              <w:pStyle w:val="PL"/>
            </w:pPr>
            <w:r w:rsidRPr="00DE5341">
              <w:t xml:space="preserve">moreThanOneRLC          </w:t>
            </w:r>
            <w:r w:rsidRPr="00DE5341">
              <w:rPr>
                <w:color w:val="993366"/>
              </w:rPr>
              <w:t>SEQUENCE</w:t>
            </w:r>
            <w:r w:rsidRPr="00DE5341">
              <w:t xml:space="preserve"> {</w:t>
            </w:r>
          </w:p>
          <w:p w14:paraId="54223C72" w14:textId="77777777" w:rsidR="00046B5A" w:rsidRPr="00DE5341" w:rsidRDefault="00046B5A" w:rsidP="00046B5A">
            <w:pPr>
              <w:pStyle w:val="PL"/>
            </w:pPr>
            <w:r w:rsidRPr="00DE5341">
              <w:t xml:space="preserve">        </w:t>
            </w:r>
            <w:r w:rsidRPr="00046B5A">
              <w:rPr>
                <w:highlight w:val="green"/>
              </w:rPr>
              <w:t xml:space="preserve">primaryPath             </w:t>
            </w:r>
            <w:r w:rsidRPr="00046B5A">
              <w:rPr>
                <w:color w:val="993366"/>
                <w:highlight w:val="green"/>
              </w:rPr>
              <w:t>SEQUENCE</w:t>
            </w:r>
            <w:r w:rsidRPr="00046B5A">
              <w:rPr>
                <w:highlight w:val="green"/>
              </w:rPr>
              <w:t xml:space="preserve"> {</w:t>
            </w:r>
          </w:p>
          <w:p w14:paraId="4075C020" w14:textId="47B9371E" w:rsidR="00046B5A" w:rsidRPr="00DE5341" w:rsidRDefault="00046B5A" w:rsidP="00046B5A">
            <w:pPr>
              <w:pStyle w:val="PL"/>
              <w:rPr>
                <w:color w:val="808080"/>
              </w:rPr>
            </w:pPr>
            <w:r w:rsidRPr="00DE5341">
              <w:t xml:space="preserve">            cellGroup             CellGroupId     </w:t>
            </w:r>
            <w:r w:rsidR="001644B4">
              <w:t xml:space="preserve">  </w:t>
            </w:r>
            <w:r w:rsidRPr="00DE5341">
              <w:t xml:space="preserve">      </w:t>
            </w:r>
            <w:r w:rsidRPr="00DE5341">
              <w:rPr>
                <w:color w:val="993366"/>
              </w:rPr>
              <w:t>OPTIONAL</w:t>
            </w:r>
            <w:r w:rsidRPr="00DE5341">
              <w:t xml:space="preserve">,   </w:t>
            </w:r>
            <w:r w:rsidRPr="00DE5341">
              <w:rPr>
                <w:color w:val="808080"/>
              </w:rPr>
              <w:t>-- Need R</w:t>
            </w:r>
          </w:p>
          <w:p w14:paraId="005855E2" w14:textId="1B8A3FF4" w:rsidR="00046B5A" w:rsidRPr="00DE5341" w:rsidRDefault="00046B5A" w:rsidP="00046B5A">
            <w:pPr>
              <w:pStyle w:val="PL"/>
              <w:rPr>
                <w:color w:val="808080"/>
              </w:rPr>
            </w:pPr>
            <w:r w:rsidRPr="00DE5341">
              <w:t xml:space="preserve">            logicalChannel        LogicalChannelIdentity</w:t>
            </w:r>
            <w:r w:rsidR="001644B4">
              <w:t xml:space="preserve">  </w:t>
            </w:r>
            <w:r w:rsidRPr="00DE5341">
              <w:rPr>
                <w:color w:val="993366"/>
              </w:rPr>
              <w:t>OPTIONAL</w:t>
            </w:r>
            <w:r w:rsidRPr="00DE5341">
              <w:t xml:space="preserve">    </w:t>
            </w:r>
            <w:r w:rsidRPr="00DE5341">
              <w:rPr>
                <w:color w:val="808080"/>
              </w:rPr>
              <w:t>-- Need R</w:t>
            </w:r>
          </w:p>
          <w:p w14:paraId="57E372CD" w14:textId="77777777" w:rsidR="00046B5A" w:rsidRPr="00DE5341" w:rsidRDefault="00046B5A" w:rsidP="00046B5A">
            <w:pPr>
              <w:pStyle w:val="PL"/>
            </w:pPr>
            <w:r w:rsidRPr="00DE5341">
              <w:t xml:space="preserve">        },</w:t>
            </w:r>
          </w:p>
          <w:p w14:paraId="4BB8090D" w14:textId="6666B6AE" w:rsidR="00046B5A" w:rsidRPr="00DE5341" w:rsidRDefault="00046B5A" w:rsidP="00046B5A">
            <w:pPr>
              <w:pStyle w:val="PL"/>
              <w:rPr>
                <w:color w:val="808080"/>
              </w:rPr>
            </w:pPr>
            <w:r w:rsidRPr="00DE5341">
              <w:t xml:space="preserve">        ul-DataSplitThreshold   UL-DataSplitThreshold     </w:t>
            </w:r>
            <w:r w:rsidRPr="00DE5341">
              <w:rPr>
                <w:color w:val="993366"/>
              </w:rPr>
              <w:t>OPTIONAL</w:t>
            </w:r>
            <w:r w:rsidRPr="00DE5341">
              <w:t xml:space="preserve">,   </w:t>
            </w:r>
            <w:r w:rsidRPr="00DE5341">
              <w:rPr>
                <w:color w:val="808080"/>
              </w:rPr>
              <w:t>-- Cond SplitBearer</w:t>
            </w:r>
          </w:p>
          <w:p w14:paraId="6E401322" w14:textId="6FA97344" w:rsidR="00046B5A" w:rsidRPr="00DE5341" w:rsidRDefault="00046B5A" w:rsidP="00046B5A">
            <w:pPr>
              <w:pStyle w:val="PL"/>
              <w:rPr>
                <w:color w:val="808080"/>
              </w:rPr>
            </w:pPr>
            <w:r w:rsidRPr="00DE5341">
              <w:t xml:space="preserve">        pdcp-Duplication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R</w:t>
            </w:r>
          </w:p>
          <w:p w14:paraId="11809254" w14:textId="6A55DE9F" w:rsidR="00046B5A" w:rsidRPr="00046B5A" w:rsidRDefault="00046B5A" w:rsidP="00046B5A">
            <w:pPr>
              <w:pStyle w:val="PL"/>
              <w:rPr>
                <w:color w:val="808080"/>
              </w:rPr>
            </w:pPr>
            <w:r w:rsidRPr="00DE5341">
              <w:t xml:space="preserve">    }                      </w:t>
            </w:r>
            <w:r w:rsidR="001644B4">
              <w:t xml:space="preserve"> </w:t>
            </w:r>
            <w:r w:rsidRPr="00DE5341">
              <w:t xml:space="preserve">                              </w:t>
            </w:r>
            <w:r w:rsidRPr="00DE5341">
              <w:rPr>
                <w:color w:val="993366"/>
              </w:rPr>
              <w:t>OPTIONAL</w:t>
            </w:r>
            <w:r w:rsidRPr="00DE5341">
              <w:t xml:space="preserve">,   </w:t>
            </w:r>
            <w:r w:rsidRPr="00DE5341">
              <w:rPr>
                <w:color w:val="808080"/>
              </w:rPr>
              <w:t>-- Cond MoreThanOneRLC</w:t>
            </w:r>
          </w:p>
        </w:tc>
      </w:tr>
      <w:tr w:rsidR="00046B5A" w14:paraId="6F21C48D" w14:textId="77777777" w:rsidTr="00046B5A">
        <w:tc>
          <w:tcPr>
            <w:tcW w:w="9060" w:type="dxa"/>
          </w:tcPr>
          <w:p w14:paraId="5807349F" w14:textId="77777777" w:rsidR="00046B5A" w:rsidRPr="00DE5341" w:rsidRDefault="00046B5A" w:rsidP="00046B5A">
            <w:pPr>
              <w:pStyle w:val="TAL"/>
              <w:rPr>
                <w:b/>
                <w:i/>
                <w:iCs/>
                <w:lang w:eastAsia="en-GB"/>
              </w:rPr>
            </w:pPr>
            <w:r w:rsidRPr="00DE5341">
              <w:rPr>
                <w:b/>
                <w:i/>
                <w:iCs/>
                <w:lang w:eastAsia="en-GB"/>
              </w:rPr>
              <w:t>primaryPath</w:t>
            </w:r>
          </w:p>
          <w:p w14:paraId="5D2BA9E6" w14:textId="277AAFB9" w:rsidR="00046B5A" w:rsidRPr="00DE5341" w:rsidRDefault="00046B5A" w:rsidP="00046B5A">
            <w:pPr>
              <w:pStyle w:val="PL"/>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AF1FD1">
              <w:rPr>
                <w:iCs/>
                <w:highlight w:val="green"/>
                <w:lang w:eastAsia="en-GB"/>
              </w:rPr>
              <w:t>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14:paraId="1C555B43" w14:textId="39914CFD" w:rsidR="00B77354" w:rsidRDefault="00046B5A" w:rsidP="00553054">
      <w:pPr>
        <w:pStyle w:val="BodyText"/>
        <w:rPr>
          <w:rFonts w:eastAsia="Times New Roman" w:cs="Arial"/>
        </w:rPr>
      </w:pPr>
      <w:r w:rsidRPr="00AC3E25">
        <w:rPr>
          <w:rFonts w:eastAsia="Times New Roman" w:cs="Arial"/>
        </w:rPr>
        <w:t xml:space="preserve">If duplication is not activated, by default the </w:t>
      </w:r>
      <w:proofErr w:type="spellStart"/>
      <w:r w:rsidRPr="00AC3E25">
        <w:rPr>
          <w:rFonts w:eastAsia="Times New Roman" w:cs="Arial"/>
          <w:i/>
        </w:rPr>
        <w:t>primaryPath</w:t>
      </w:r>
      <w:proofErr w:type="spellEnd"/>
      <w:r w:rsidRPr="00AC3E25">
        <w:rPr>
          <w:rFonts w:eastAsia="Times New Roman" w:cs="Arial"/>
        </w:rPr>
        <w:t xml:space="preserve"> is </w:t>
      </w:r>
      <w:r w:rsidRPr="00B77354">
        <w:rPr>
          <w:rFonts w:eastAsia="Times New Roman" w:cs="Arial"/>
        </w:rPr>
        <w:t xml:space="preserve">MCG leg. </w:t>
      </w:r>
      <w:r w:rsidR="001B652D">
        <w:rPr>
          <w:rFonts w:eastAsia="Times New Roman" w:cs="Arial"/>
        </w:rPr>
        <w:t>Thus</w:t>
      </w:r>
      <w:r w:rsidR="001B652D" w:rsidRPr="00AC3E25">
        <w:rPr>
          <w:rFonts w:eastAsia="Times New Roman" w:cs="Arial"/>
        </w:rPr>
        <w:t xml:space="preserve">, in scenario 2, </w:t>
      </w:r>
      <w:r w:rsidR="001B652D">
        <w:rPr>
          <w:rFonts w:eastAsia="Times New Roman" w:cs="Arial"/>
        </w:rPr>
        <w:t xml:space="preserve">in UL </w:t>
      </w:r>
      <w:r w:rsidR="001B652D" w:rsidRPr="00AC3E25">
        <w:rPr>
          <w:rFonts w:eastAsia="Times New Roman" w:cs="Arial"/>
        </w:rPr>
        <w:t>if IAB</w:t>
      </w:r>
      <w:r w:rsidR="001B652D">
        <w:rPr>
          <w:rFonts w:eastAsia="Times New Roman" w:cs="Arial"/>
        </w:rPr>
        <w:t>-MT</w:t>
      </w:r>
      <w:r w:rsidR="001B652D" w:rsidRPr="00AC3E25">
        <w:rPr>
          <w:rFonts w:eastAsia="Times New Roman" w:cs="Arial"/>
        </w:rPr>
        <w:t xml:space="preserve"> wants to use the SN split SRB2 leg for F1-C transport,</w:t>
      </w:r>
      <w:r w:rsidR="00B77354" w:rsidRPr="00B77354">
        <w:rPr>
          <w:rFonts w:eastAsiaTheme="minorEastAsia"/>
          <w:bCs/>
          <w:lang w:eastAsia="zh-CN"/>
        </w:rPr>
        <w:t xml:space="preserve"> the IAB-MT shall be able to modify the </w:t>
      </w:r>
      <w:proofErr w:type="spellStart"/>
      <w:r w:rsidR="00B77354" w:rsidRPr="00B77354">
        <w:rPr>
          <w:rFonts w:eastAsiaTheme="minorEastAsia"/>
          <w:bCs/>
          <w:i/>
          <w:iCs/>
          <w:lang w:eastAsia="zh-CN"/>
        </w:rPr>
        <w:t>primaryPath</w:t>
      </w:r>
      <w:proofErr w:type="spellEnd"/>
      <w:r w:rsidR="00B77354" w:rsidRPr="00B77354">
        <w:rPr>
          <w:rFonts w:eastAsiaTheme="minorEastAsia"/>
          <w:bCs/>
          <w:lang w:eastAsia="zh-CN"/>
        </w:rPr>
        <w:t xml:space="preserve"> to SCG</w:t>
      </w:r>
      <w:r w:rsidR="00B77354" w:rsidRPr="00B77354">
        <w:rPr>
          <w:rFonts w:eastAsia="Times New Roman" w:cs="Arial"/>
        </w:rPr>
        <w:t xml:space="preserve"> leg</w:t>
      </w:r>
      <w:r w:rsidR="00B77354">
        <w:rPr>
          <w:rFonts w:eastAsia="Times New Roman" w:cs="Arial"/>
        </w:rPr>
        <w:t>.</w:t>
      </w:r>
      <w:r w:rsidR="002E6A3E" w:rsidRPr="002E6A3E">
        <w:rPr>
          <w:rFonts w:eastAsia="Times New Roman" w:cs="Arial"/>
        </w:rPr>
        <w:t xml:space="preserve"> </w:t>
      </w:r>
    </w:p>
    <w:p w14:paraId="40CE64A0" w14:textId="68620286" w:rsidR="00B77354" w:rsidRDefault="00B77354" w:rsidP="00553054">
      <w:pPr>
        <w:pStyle w:val="BodyText"/>
        <w:rPr>
          <w:rFonts w:eastAsia="Times New Roman" w:cs="Arial"/>
        </w:rPr>
      </w:pPr>
      <w:r>
        <w:rPr>
          <w:rFonts w:eastAsia="Times New Roman" w:cs="Arial"/>
        </w:rPr>
        <w:t>Therefore,</w:t>
      </w:r>
    </w:p>
    <w:p w14:paraId="2C877210" w14:textId="18B42018" w:rsidR="002E6A3E" w:rsidRPr="008D0B3E" w:rsidRDefault="002E6A3E" w:rsidP="00EF7867">
      <w:pPr>
        <w:pStyle w:val="Proposal"/>
        <w:numPr>
          <w:ilvl w:val="0"/>
          <w:numId w:val="9"/>
        </w:numPr>
        <w:ind w:left="1701" w:hanging="1701"/>
        <w:rPr>
          <w:rFonts w:ascii="Times New Roman" w:hAnsi="Times New Roman"/>
        </w:rPr>
      </w:pPr>
      <w:bookmarkStart w:id="8" w:name="_Ref71490962"/>
      <w:r w:rsidRPr="002E6A3E">
        <w:rPr>
          <w:rFonts w:ascii="Times New Roman" w:hAnsi="Times New Roman"/>
        </w:rPr>
        <w:lastRenderedPageBreak/>
        <w:t xml:space="preserve">To support F1-C transport in scenario 2 via split SRB2, the IAB-MT shall be able to modify the </w:t>
      </w:r>
      <w:proofErr w:type="spellStart"/>
      <w:r w:rsidRPr="002E6A3E">
        <w:rPr>
          <w:rFonts w:ascii="Times New Roman" w:hAnsi="Times New Roman"/>
          <w:i/>
        </w:rPr>
        <w:t>primaryPath</w:t>
      </w:r>
      <w:proofErr w:type="spellEnd"/>
      <w:r w:rsidRPr="002E6A3E">
        <w:rPr>
          <w:rFonts w:ascii="Times New Roman" w:hAnsi="Times New Roman"/>
        </w:rPr>
        <w:t xml:space="preserve"> to SCG, if the RRC message to be transmitted includes the F1-C related information</w:t>
      </w:r>
      <w:r w:rsidRPr="008D0B3E">
        <w:rPr>
          <w:rFonts w:ascii="Times New Roman" w:hAnsi="Times New Roman"/>
        </w:rPr>
        <w:t>.</w:t>
      </w:r>
      <w:bookmarkEnd w:id="8"/>
    </w:p>
    <w:p w14:paraId="44C0B532" w14:textId="5AD2696C" w:rsidR="00046B5A" w:rsidRPr="00AC3E25" w:rsidRDefault="001B652D" w:rsidP="00553054">
      <w:pPr>
        <w:pStyle w:val="BodyText"/>
        <w:rPr>
          <w:rFonts w:eastAsia="Times New Roman" w:cs="Arial"/>
        </w:rPr>
      </w:pPr>
      <w:r>
        <w:rPr>
          <w:rFonts w:eastAsia="Times New Roman" w:cs="Arial"/>
        </w:rPr>
        <w:t xml:space="preserve">For IAB-MT to modify </w:t>
      </w:r>
      <w:proofErr w:type="spellStart"/>
      <w:r w:rsidRPr="00B77354">
        <w:rPr>
          <w:rFonts w:eastAsiaTheme="minorEastAsia"/>
          <w:bCs/>
          <w:i/>
          <w:iCs/>
          <w:lang w:eastAsia="zh-CN"/>
        </w:rPr>
        <w:t>primaryPath</w:t>
      </w:r>
      <w:proofErr w:type="spellEnd"/>
      <w:r w:rsidRPr="00B77354">
        <w:rPr>
          <w:rFonts w:eastAsiaTheme="minorEastAsia"/>
          <w:bCs/>
          <w:lang w:eastAsia="zh-CN"/>
        </w:rPr>
        <w:t xml:space="preserve"> to SCG</w:t>
      </w:r>
      <w:r w:rsidRPr="00B77354">
        <w:rPr>
          <w:rFonts w:eastAsia="Times New Roman" w:cs="Arial"/>
        </w:rPr>
        <w:t xml:space="preserve"> leg</w:t>
      </w:r>
      <w:r w:rsidRPr="00AC3E25">
        <w:rPr>
          <w:rFonts w:eastAsia="Times New Roman" w:cs="Arial"/>
        </w:rPr>
        <w:t xml:space="preserve"> </w:t>
      </w:r>
      <w:r w:rsidR="00046B5A" w:rsidRPr="00AC3E25">
        <w:rPr>
          <w:rFonts w:eastAsia="Times New Roman" w:cs="Arial"/>
        </w:rPr>
        <w:t xml:space="preserve">either an explicit configuration is needed </w:t>
      </w:r>
      <w:r>
        <w:rPr>
          <w:rFonts w:eastAsia="Times New Roman" w:cs="Arial"/>
        </w:rPr>
        <w:t>from IAB-donor CU</w:t>
      </w:r>
      <w:r w:rsidR="00046B5A" w:rsidRPr="00AC3E25">
        <w:rPr>
          <w:rFonts w:eastAsia="Times New Roman" w:cs="Arial"/>
        </w:rPr>
        <w:t xml:space="preserve"> to switch the </w:t>
      </w:r>
      <w:proofErr w:type="spellStart"/>
      <w:r w:rsidR="00AC3E25" w:rsidRPr="00AC3E25">
        <w:rPr>
          <w:rFonts w:eastAsia="Times New Roman" w:cs="Arial"/>
          <w:i/>
        </w:rPr>
        <w:t>primaryPath</w:t>
      </w:r>
      <w:proofErr w:type="spellEnd"/>
      <w:r w:rsidR="00046B5A" w:rsidRPr="00AC3E25">
        <w:rPr>
          <w:rFonts w:eastAsia="Times New Roman" w:cs="Arial"/>
        </w:rPr>
        <w:t xml:space="preserve"> to SCG leg or IAB</w:t>
      </w:r>
      <w:r>
        <w:rPr>
          <w:rFonts w:eastAsia="Times New Roman" w:cs="Arial"/>
        </w:rPr>
        <w:t>-MT</w:t>
      </w:r>
      <w:r w:rsidR="00AC3E25" w:rsidRPr="00AC3E25">
        <w:rPr>
          <w:rFonts w:eastAsia="Times New Roman" w:cs="Arial"/>
        </w:rPr>
        <w:t xml:space="preserve"> is implicitly allowed</w:t>
      </w:r>
      <w:r w:rsidR="00B02005" w:rsidRPr="00AC3E25">
        <w:rPr>
          <w:rFonts w:eastAsia="Times New Roman" w:cs="Arial"/>
        </w:rPr>
        <w:t xml:space="preserve"> </w:t>
      </w:r>
      <w:r>
        <w:rPr>
          <w:rFonts w:eastAsia="Times New Roman" w:cs="Arial"/>
        </w:rPr>
        <w:t xml:space="preserve">to </w:t>
      </w:r>
      <w:r w:rsidR="00B02005" w:rsidRPr="00AC3E25">
        <w:rPr>
          <w:rFonts w:eastAsia="Times New Roman" w:cs="Arial"/>
        </w:rPr>
        <w:t>autonomously</w:t>
      </w:r>
      <w:r w:rsidR="00AC3E25" w:rsidRPr="00AC3E25">
        <w:rPr>
          <w:rFonts w:eastAsia="Times New Roman" w:cs="Arial"/>
        </w:rPr>
        <w:t xml:space="preserve"> switch to </w:t>
      </w:r>
      <w:proofErr w:type="spellStart"/>
      <w:r w:rsidR="00AC3E25" w:rsidRPr="00AC3E25">
        <w:rPr>
          <w:rFonts w:eastAsia="Times New Roman" w:cs="Arial"/>
          <w:i/>
        </w:rPr>
        <w:t>primaryPath</w:t>
      </w:r>
      <w:proofErr w:type="spellEnd"/>
      <w:r w:rsidR="00AC3E25" w:rsidRPr="00AC3E25">
        <w:rPr>
          <w:rFonts w:eastAsia="Times New Roman" w:cs="Arial"/>
        </w:rPr>
        <w:t xml:space="preserve"> to SCG leg</w:t>
      </w:r>
      <w:r w:rsidR="00AC3E25">
        <w:rPr>
          <w:rFonts w:eastAsia="Times New Roman" w:cs="Arial"/>
        </w:rPr>
        <w:t>.</w:t>
      </w:r>
    </w:p>
    <w:p w14:paraId="7575A980" w14:textId="150E2177" w:rsidR="002F6D7B" w:rsidRDefault="00045FD4" w:rsidP="002F6D7B">
      <w:pPr>
        <w:pStyle w:val="CommentText"/>
        <w:rPr>
          <w:rFonts w:eastAsiaTheme="minorEastAsia"/>
          <w:lang w:eastAsia="zh-CN"/>
        </w:rPr>
      </w:pPr>
      <w:r>
        <w:rPr>
          <w:rFonts w:eastAsiaTheme="minorEastAsia"/>
          <w:lang w:eastAsia="zh-CN"/>
        </w:rPr>
        <w:t xml:space="preserve">For simplicity, </w:t>
      </w:r>
      <w:r w:rsidR="00E152F5">
        <w:rPr>
          <w:rFonts w:eastAsiaTheme="minorEastAsia"/>
          <w:lang w:eastAsia="zh-CN"/>
        </w:rPr>
        <w:t xml:space="preserve">IAB-MT can follow the behaviors specified </w:t>
      </w:r>
      <w:r>
        <w:rPr>
          <w:rFonts w:eastAsiaTheme="minorEastAsia"/>
          <w:lang w:eastAsia="zh-CN"/>
        </w:rPr>
        <w:t>as for MCG fast recovery procedure,</w:t>
      </w:r>
      <w:r w:rsidR="00E152F5">
        <w:rPr>
          <w:rFonts w:eastAsiaTheme="minorEastAsia"/>
          <w:lang w:eastAsia="zh-CN"/>
        </w:rPr>
        <w:t xml:space="preserve"> where that the IAB-MT is </w:t>
      </w:r>
      <w:r>
        <w:rPr>
          <w:rFonts w:eastAsiaTheme="minorEastAsia"/>
          <w:lang w:eastAsia="zh-CN"/>
        </w:rPr>
        <w:t xml:space="preserve">able to autonomously switch the </w:t>
      </w:r>
      <w:proofErr w:type="spellStart"/>
      <w:r w:rsidRPr="00AC3E25">
        <w:rPr>
          <w:rFonts w:cs="Arial"/>
          <w:i/>
        </w:rPr>
        <w:t>primaryPath</w:t>
      </w:r>
      <w:proofErr w:type="spellEnd"/>
      <w:r w:rsidRPr="00AC3E25">
        <w:rPr>
          <w:rFonts w:cs="Arial"/>
        </w:rPr>
        <w:t xml:space="preserve"> to </w:t>
      </w:r>
      <w:r w:rsidRPr="00C306E3">
        <w:rPr>
          <w:rFonts w:eastAsiaTheme="minorEastAsia"/>
          <w:lang w:eastAsia="zh-CN"/>
        </w:rPr>
        <w:t xml:space="preserve">SCG leg </w:t>
      </w:r>
      <w:r w:rsidR="00C306E3" w:rsidRPr="00C306E3">
        <w:rPr>
          <w:rFonts w:eastAsiaTheme="minorEastAsia"/>
          <w:lang w:eastAsia="zh-CN"/>
        </w:rPr>
        <w:t>t</w:t>
      </w:r>
      <w:r w:rsidRPr="00C306E3">
        <w:rPr>
          <w:rFonts w:eastAsiaTheme="minorEastAsia"/>
          <w:lang w:eastAsia="zh-CN"/>
        </w:rPr>
        <w:t>o support F1-C transport in scenario 2.</w:t>
      </w:r>
    </w:p>
    <w:p w14:paraId="6146A20E" w14:textId="77777777" w:rsidR="00C306E3" w:rsidRDefault="00C306E3" w:rsidP="00C306E3">
      <w:pPr>
        <w:pStyle w:val="BodyText"/>
        <w:rPr>
          <w:rFonts w:eastAsia="Times New Roman" w:cs="Arial"/>
        </w:rPr>
      </w:pPr>
      <w:r>
        <w:rPr>
          <w:rFonts w:eastAsia="Times New Roman" w:cs="Arial"/>
        </w:rPr>
        <w:t>Therefore,</w:t>
      </w:r>
    </w:p>
    <w:p w14:paraId="6DC3EBDE" w14:textId="1313EF0B" w:rsidR="00C306E3" w:rsidRPr="008D0B3E" w:rsidRDefault="00C306E3" w:rsidP="00EF7867">
      <w:pPr>
        <w:pStyle w:val="Proposal"/>
        <w:numPr>
          <w:ilvl w:val="0"/>
          <w:numId w:val="9"/>
        </w:numPr>
        <w:ind w:left="1701" w:hanging="1701"/>
        <w:rPr>
          <w:rFonts w:ascii="Times New Roman" w:hAnsi="Times New Roman"/>
        </w:rPr>
      </w:pPr>
      <w:bookmarkStart w:id="9" w:name="_Ref71490966"/>
      <w:r w:rsidRPr="002E6A3E">
        <w:rPr>
          <w:rFonts w:ascii="Times New Roman" w:hAnsi="Times New Roman"/>
        </w:rPr>
        <w:t xml:space="preserve">To support F1-C transport in scenario 2 via split SRB2, the IAB-MT </w:t>
      </w:r>
      <w:r>
        <w:rPr>
          <w:rFonts w:ascii="Times New Roman" w:hAnsi="Times New Roman"/>
        </w:rPr>
        <w:t xml:space="preserve">can </w:t>
      </w:r>
      <w:r w:rsidRPr="00C306E3">
        <w:rPr>
          <w:rFonts w:ascii="Times New Roman" w:hAnsi="Times New Roman"/>
        </w:rPr>
        <w:t>autonomously</w:t>
      </w:r>
      <w:r w:rsidRPr="002E6A3E">
        <w:rPr>
          <w:rFonts w:ascii="Times New Roman" w:hAnsi="Times New Roman"/>
        </w:rPr>
        <w:t xml:space="preserve"> modify the </w:t>
      </w:r>
      <w:proofErr w:type="spellStart"/>
      <w:r w:rsidRPr="00C306E3">
        <w:rPr>
          <w:rFonts w:ascii="Times New Roman" w:hAnsi="Times New Roman"/>
          <w:i/>
        </w:rPr>
        <w:t>primaryPath</w:t>
      </w:r>
      <w:proofErr w:type="spellEnd"/>
      <w:r w:rsidRPr="002E6A3E">
        <w:rPr>
          <w:rFonts w:ascii="Times New Roman" w:hAnsi="Times New Roman"/>
        </w:rPr>
        <w:t xml:space="preserve"> to SCG</w:t>
      </w:r>
      <w:r>
        <w:rPr>
          <w:rFonts w:ascii="Times New Roman" w:hAnsi="Times New Roman"/>
        </w:rPr>
        <w:t xml:space="preserve"> leg</w:t>
      </w:r>
      <w:r w:rsidRPr="008D0B3E">
        <w:rPr>
          <w:rFonts w:ascii="Times New Roman" w:hAnsi="Times New Roman"/>
        </w:rPr>
        <w:t>.</w:t>
      </w:r>
      <w:bookmarkEnd w:id="9"/>
    </w:p>
    <w:p w14:paraId="3505FDE0" w14:textId="1D73BC01" w:rsidR="00AA3AF7" w:rsidRDefault="00AA3AF7" w:rsidP="00AA3AF7">
      <w:pPr>
        <w:pStyle w:val="CommentText"/>
        <w:rPr>
          <w:rFonts w:eastAsia="宋体"/>
          <w:szCs w:val="20"/>
          <w:lang w:val="en-GB"/>
        </w:rPr>
      </w:pPr>
      <w:r>
        <w:rPr>
          <w:rFonts w:eastAsiaTheme="minorEastAsia"/>
          <w:lang w:eastAsia="zh-CN"/>
        </w:rPr>
        <w:t>On whether f</w:t>
      </w:r>
      <w:r w:rsidRPr="00AA3AF7">
        <w:rPr>
          <w:rFonts w:eastAsiaTheme="minorEastAsia"/>
          <w:lang w:eastAsia="zh-CN"/>
        </w:rPr>
        <w:t>or the same scenario, what if the IAB-MT’s RRC message carries both, (1) F1-C traffic and (2) other information unrelated to F1-C.</w:t>
      </w:r>
      <w:r>
        <w:rPr>
          <w:rFonts w:eastAsiaTheme="minorEastAsia"/>
          <w:lang w:eastAsia="zh-CN"/>
        </w:rPr>
        <w:t xml:space="preserve"> </w:t>
      </w:r>
      <w:r w:rsidRPr="001C2906">
        <w:rPr>
          <w:rFonts w:eastAsia="宋体"/>
          <w:szCs w:val="20"/>
          <w:lang w:val="en-GB"/>
        </w:rPr>
        <w:t>The concern raised is that this changes the legacy behavior of RRC message transmissions for non-IAB.</w:t>
      </w:r>
      <w:r>
        <w:rPr>
          <w:rFonts w:eastAsia="宋体"/>
          <w:szCs w:val="20"/>
          <w:lang w:val="en-GB"/>
        </w:rPr>
        <w:t xml:space="preserve"> </w:t>
      </w:r>
      <w:r w:rsidRPr="001C2906">
        <w:rPr>
          <w:rFonts w:eastAsia="宋体"/>
          <w:szCs w:val="20"/>
          <w:lang w:val="en-GB"/>
        </w:rPr>
        <w:t>Some companies think it can use separate message to deliver the non-F1-C related traffic, or simply the IAB-MT follows the configuration of F1-C transfer path.</w:t>
      </w:r>
      <w:r>
        <w:rPr>
          <w:rFonts w:eastAsia="宋体"/>
          <w:szCs w:val="20"/>
          <w:lang w:val="en-GB"/>
        </w:rPr>
        <w:t xml:space="preserve"> Our understanding is the </w:t>
      </w:r>
      <w:r w:rsidRPr="001C2906">
        <w:rPr>
          <w:rFonts w:eastAsia="宋体"/>
          <w:szCs w:val="20"/>
          <w:lang w:val="en-GB"/>
        </w:rPr>
        <w:t>IAB-MT follows the configuration of F1-C transfer path</w:t>
      </w:r>
      <w:r>
        <w:rPr>
          <w:rFonts w:eastAsia="宋体"/>
          <w:szCs w:val="20"/>
          <w:lang w:val="en-GB"/>
        </w:rPr>
        <w:t xml:space="preserve"> is simple and straightforward. </w:t>
      </w:r>
    </w:p>
    <w:p w14:paraId="7C00399E" w14:textId="1689B089" w:rsidR="00AA3AF7" w:rsidRPr="00AA3AF7" w:rsidRDefault="00AA3AF7" w:rsidP="00AA3AF7">
      <w:pPr>
        <w:pStyle w:val="CommentText"/>
        <w:rPr>
          <w:rFonts w:eastAsia="宋体"/>
          <w:szCs w:val="20"/>
          <w:lang w:val="en-GB"/>
        </w:rPr>
      </w:pPr>
      <w:r w:rsidRPr="00AA3AF7">
        <w:rPr>
          <w:rFonts w:eastAsia="宋体"/>
          <w:szCs w:val="20"/>
          <w:lang w:val="en-GB"/>
        </w:rPr>
        <w:t>Therefore,</w:t>
      </w:r>
    </w:p>
    <w:p w14:paraId="6E7D36F6" w14:textId="051D9B4A" w:rsidR="00BB56C0" w:rsidRPr="00BB56C0" w:rsidRDefault="00BB56C0" w:rsidP="00BB56C0">
      <w:pPr>
        <w:pStyle w:val="Proposal"/>
        <w:numPr>
          <w:ilvl w:val="0"/>
          <w:numId w:val="9"/>
        </w:numPr>
        <w:ind w:left="1701" w:hanging="1701"/>
        <w:rPr>
          <w:rFonts w:ascii="Times New Roman" w:hAnsi="Times New Roman"/>
        </w:rPr>
      </w:pPr>
      <w:r w:rsidRPr="00BB56C0">
        <w:rPr>
          <w:rFonts w:ascii="Times New Roman" w:hAnsi="Times New Roman"/>
          <w:lang w:val="en-US"/>
        </w:rPr>
        <w:t xml:space="preserve">In case the split SRB2 RRC message contains both F1-C traffic and other information unrelated to IAB, the IAB-MT </w:t>
      </w:r>
      <w:r>
        <w:rPr>
          <w:rFonts w:ascii="Times New Roman" w:hAnsi="Times New Roman"/>
          <w:lang w:val="en-US"/>
        </w:rPr>
        <w:t>simply</w:t>
      </w:r>
      <w:r w:rsidR="000E3E9E">
        <w:rPr>
          <w:rFonts w:ascii="Times New Roman" w:hAnsi="Times New Roman"/>
          <w:lang w:val="en-US"/>
        </w:rPr>
        <w:t xml:space="preserve"> </w:t>
      </w:r>
      <w:r w:rsidRPr="00BB56C0">
        <w:rPr>
          <w:rFonts w:ascii="Times New Roman" w:hAnsi="Times New Roman"/>
          <w:lang w:val="en-US"/>
        </w:rPr>
        <w:t>follows the configuration of F1-C transfer path (if configured).</w:t>
      </w:r>
    </w:p>
    <w:p w14:paraId="4DAFF0E6" w14:textId="492373FD" w:rsidR="00C306E3" w:rsidRDefault="00C306E3" w:rsidP="002F6D7B">
      <w:pPr>
        <w:pStyle w:val="CommentText"/>
        <w:rPr>
          <w:rFonts w:eastAsiaTheme="minorEastAsia"/>
          <w:lang w:eastAsia="zh-CN"/>
        </w:rPr>
      </w:pPr>
    </w:p>
    <w:bookmarkEnd w:id="7"/>
    <w:p w14:paraId="796E1857"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6F4EF591" w:rsidR="00AC3A9E" w:rsidRDefault="00AC3A9E" w:rsidP="00AC3A9E">
      <w:pPr>
        <w:pStyle w:val="BodyText"/>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2979DD19" w14:textId="3F8D74A4" w:rsidR="004754D7" w:rsidRPr="00B508CE" w:rsidRDefault="00B508CE" w:rsidP="000E3685">
      <w:pPr>
        <w:pStyle w:val="BodyText"/>
        <w:ind w:left="1701" w:hanging="1701"/>
        <w:rPr>
          <w:b/>
          <w:bCs/>
          <w:color w:val="000000"/>
        </w:rPr>
      </w:pPr>
      <w:r w:rsidRPr="00B508CE">
        <w:rPr>
          <w:b/>
          <w:bCs/>
          <w:color w:val="000000"/>
        </w:rPr>
        <w:fldChar w:fldCharType="begin"/>
      </w:r>
      <w:r w:rsidRPr="00B508CE">
        <w:rPr>
          <w:b/>
          <w:bCs/>
          <w:color w:val="000000"/>
        </w:rPr>
        <w:instrText xml:space="preserve"> REF _Ref71490990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1</w:t>
      </w:r>
      <w:r w:rsidRPr="00B508CE">
        <w:rPr>
          <w:b/>
          <w:bCs/>
          <w:color w:val="000000"/>
        </w:rPr>
        <w:fldChar w:fldCharType="end"/>
      </w:r>
      <w:r w:rsidRPr="00B508CE">
        <w:rPr>
          <w:b/>
          <w:bCs/>
          <w:color w:val="000000"/>
        </w:rPr>
        <w:tab/>
      </w:r>
      <w:r w:rsidR="00552392">
        <w:rPr>
          <w:b/>
          <w:bCs/>
          <w:color w:val="000000"/>
        </w:rPr>
        <w:t>Specifying</w:t>
      </w:r>
      <w:r w:rsidR="00552392" w:rsidRPr="00552392">
        <w:rPr>
          <w:b/>
          <w:bCs/>
          <w:color w:val="000000"/>
        </w:rPr>
        <w:t xml:space="preserve"> </w:t>
      </w:r>
      <w:r w:rsidR="00552392">
        <w:rPr>
          <w:b/>
          <w:bCs/>
          <w:color w:val="000000"/>
        </w:rPr>
        <w:t>n</w:t>
      </w:r>
      <w:r w:rsidR="00552392" w:rsidRPr="00552392">
        <w:rPr>
          <w:b/>
          <w:bCs/>
          <w:color w:val="000000"/>
        </w:rPr>
        <w:t xml:space="preserve">etwork behavior to configure the </w:t>
      </w:r>
      <w:proofErr w:type="spellStart"/>
      <w:r w:rsidR="00552392" w:rsidRPr="00C02A62">
        <w:rPr>
          <w:b/>
          <w:bCs/>
          <w:i/>
          <w:color w:val="000000"/>
        </w:rPr>
        <w:t>primaryPath</w:t>
      </w:r>
      <w:proofErr w:type="spellEnd"/>
      <w:r w:rsidR="00552392" w:rsidRPr="00552392">
        <w:rPr>
          <w:b/>
          <w:bCs/>
          <w:color w:val="000000"/>
        </w:rPr>
        <w:t xml:space="preserve"> of SRB2 to SCG so that the F1-C traffic can be transmitted via SCG is feasible but may induce unnecessary specification effort.</w:t>
      </w:r>
    </w:p>
    <w:p w14:paraId="3EC68BC0" w14:textId="6BE948B6" w:rsidR="00B508CE" w:rsidRPr="006F1F86" w:rsidRDefault="006F1F86" w:rsidP="000E3685">
      <w:pPr>
        <w:pStyle w:val="BodyText"/>
        <w:ind w:left="1701" w:hanging="1701"/>
        <w:rPr>
          <w:bCs/>
          <w:color w:val="000000"/>
        </w:rPr>
      </w:pPr>
      <w:r w:rsidRPr="006F1F86">
        <w:rPr>
          <w:bCs/>
          <w:color w:val="000000"/>
        </w:rPr>
        <w:t>And</w:t>
      </w:r>
    </w:p>
    <w:p w14:paraId="6BFD0C67" w14:textId="17C357C3" w:rsidR="00EF58F7" w:rsidRPr="008D0B3E" w:rsidRDefault="00B508CE" w:rsidP="00EF58F7">
      <w:pPr>
        <w:pStyle w:val="BodyText"/>
        <w:ind w:left="1701" w:hanging="1701"/>
      </w:pPr>
      <w:r w:rsidRPr="00B508CE">
        <w:rPr>
          <w:b/>
          <w:bCs/>
          <w:color w:val="000000"/>
        </w:rPr>
        <w:fldChar w:fldCharType="begin"/>
      </w:r>
      <w:r w:rsidRPr="00B508CE">
        <w:rPr>
          <w:b/>
          <w:bCs/>
          <w:color w:val="000000"/>
        </w:rPr>
        <w:instrText xml:space="preserve"> REF _Ref71490957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 xml:space="preserve">Proposal </w:t>
      </w:r>
      <w:r w:rsidRPr="00B508CE">
        <w:rPr>
          <w:b/>
          <w:bCs/>
          <w:color w:val="000000"/>
        </w:rPr>
        <w:fldChar w:fldCharType="end"/>
      </w:r>
      <w:r w:rsidR="00376473">
        <w:rPr>
          <w:b/>
          <w:bCs/>
          <w:color w:val="000000"/>
        </w:rPr>
        <w:t>1</w:t>
      </w:r>
      <w:r w:rsidRPr="00B508CE">
        <w:rPr>
          <w:b/>
          <w:bCs/>
          <w:color w:val="000000"/>
        </w:rPr>
        <w:tab/>
      </w:r>
      <w:r w:rsidR="00EF58F7" w:rsidRPr="00EF58F7">
        <w:rPr>
          <w:b/>
          <w:bCs/>
        </w:rPr>
        <w:t xml:space="preserve">To support F1-C transport in scenario 2 via split SRB2, the IAB-MT shall be able to modify the </w:t>
      </w:r>
      <w:proofErr w:type="spellStart"/>
      <w:r w:rsidR="00EF58F7" w:rsidRPr="00EF58F7">
        <w:rPr>
          <w:b/>
          <w:bCs/>
          <w:i/>
        </w:rPr>
        <w:t>primaryPath</w:t>
      </w:r>
      <w:proofErr w:type="spellEnd"/>
      <w:r w:rsidR="00EF58F7" w:rsidRPr="00EF58F7">
        <w:rPr>
          <w:b/>
          <w:bCs/>
        </w:rPr>
        <w:t xml:space="preserve"> to SCG, if the RRC message to be transmitted includes the F1-C related information.</w:t>
      </w:r>
    </w:p>
    <w:p w14:paraId="03DD19AA" w14:textId="7A97245D" w:rsidR="00EF58F7" w:rsidRPr="00B508CE" w:rsidRDefault="00B508CE" w:rsidP="000E3685">
      <w:pPr>
        <w:pStyle w:val="BodyText"/>
        <w:ind w:left="1701" w:hanging="1701"/>
        <w:rPr>
          <w:b/>
          <w:bCs/>
          <w:color w:val="000000"/>
        </w:rPr>
      </w:pPr>
      <w:r w:rsidRPr="00B508CE">
        <w:rPr>
          <w:b/>
          <w:bCs/>
          <w:color w:val="000000"/>
        </w:rPr>
        <w:fldChar w:fldCharType="begin"/>
      </w:r>
      <w:r w:rsidRPr="00B508CE">
        <w:rPr>
          <w:b/>
          <w:bCs/>
          <w:color w:val="000000"/>
        </w:rPr>
        <w:instrText xml:space="preserve"> REF _Ref71490962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 xml:space="preserve">Proposal </w:t>
      </w:r>
      <w:r w:rsidRPr="00B508CE">
        <w:rPr>
          <w:b/>
          <w:bCs/>
          <w:color w:val="000000"/>
        </w:rPr>
        <w:fldChar w:fldCharType="end"/>
      </w:r>
      <w:r w:rsidR="00376473">
        <w:rPr>
          <w:b/>
          <w:bCs/>
          <w:color w:val="000000"/>
        </w:rPr>
        <w:t>2</w:t>
      </w:r>
      <w:r w:rsidRPr="00B508CE">
        <w:rPr>
          <w:b/>
          <w:bCs/>
          <w:color w:val="000000"/>
        </w:rPr>
        <w:tab/>
      </w:r>
      <w:r w:rsidR="00EF58F7" w:rsidRPr="00B508CE">
        <w:rPr>
          <w:b/>
          <w:bCs/>
          <w:color w:val="000000"/>
        </w:rPr>
        <w:fldChar w:fldCharType="begin"/>
      </w:r>
      <w:r w:rsidR="00EF58F7" w:rsidRPr="00B508CE">
        <w:rPr>
          <w:b/>
          <w:bCs/>
          <w:color w:val="000000"/>
        </w:rPr>
        <w:instrText xml:space="preserve"> REF _Ref71490966 \h </w:instrText>
      </w:r>
      <w:r w:rsidR="00EF58F7">
        <w:rPr>
          <w:b/>
          <w:bCs/>
          <w:color w:val="000000"/>
        </w:rPr>
        <w:instrText xml:space="preserve"> \* MERGEFORMAT </w:instrText>
      </w:r>
      <w:r w:rsidR="00EF58F7" w:rsidRPr="00B508CE">
        <w:rPr>
          <w:b/>
          <w:bCs/>
          <w:color w:val="000000"/>
        </w:rPr>
      </w:r>
      <w:r w:rsidR="00EF58F7" w:rsidRPr="00B508CE">
        <w:rPr>
          <w:b/>
          <w:bCs/>
          <w:color w:val="000000"/>
        </w:rPr>
        <w:fldChar w:fldCharType="separate"/>
      </w:r>
      <w:r w:rsidR="00EF58F7" w:rsidRPr="00377427">
        <w:rPr>
          <w:b/>
          <w:bCs/>
        </w:rPr>
        <w:t xml:space="preserve">To support F1-C transport in scenario 2 via split SRB2, the IAB-MT can autonomously modify the </w:t>
      </w:r>
      <w:proofErr w:type="spellStart"/>
      <w:r w:rsidR="00EF58F7" w:rsidRPr="00377427">
        <w:rPr>
          <w:b/>
          <w:bCs/>
          <w:i/>
        </w:rPr>
        <w:t>primaryPath</w:t>
      </w:r>
      <w:proofErr w:type="spellEnd"/>
      <w:r w:rsidR="00EF58F7" w:rsidRPr="00377427">
        <w:rPr>
          <w:b/>
          <w:bCs/>
        </w:rPr>
        <w:t xml:space="preserve"> to SCG leg.</w:t>
      </w:r>
      <w:r w:rsidR="00EF58F7" w:rsidRPr="00B508CE">
        <w:rPr>
          <w:b/>
          <w:bCs/>
          <w:color w:val="000000"/>
        </w:rPr>
        <w:fldChar w:fldCharType="end"/>
      </w:r>
    </w:p>
    <w:p w14:paraId="214C77AD" w14:textId="2305D17E" w:rsidR="00BB56C0" w:rsidRPr="00BB56C0" w:rsidRDefault="00B508CE" w:rsidP="00BB56C0">
      <w:pPr>
        <w:pStyle w:val="BodyText"/>
        <w:ind w:left="1701" w:hanging="1701"/>
        <w:rPr>
          <w:szCs w:val="20"/>
          <w:lang w:val="en-GB" w:eastAsia="zh-CN"/>
        </w:rPr>
      </w:pPr>
      <w:r w:rsidRPr="00B508CE">
        <w:rPr>
          <w:b/>
          <w:bCs/>
          <w:color w:val="000000"/>
        </w:rPr>
        <w:fldChar w:fldCharType="begin"/>
      </w:r>
      <w:r w:rsidRPr="00B508CE">
        <w:rPr>
          <w:b/>
          <w:bCs/>
          <w:color w:val="000000"/>
        </w:rPr>
        <w:instrText xml:space="preserve"> REF _Ref71490966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 xml:space="preserve">Proposal </w:t>
      </w:r>
      <w:r w:rsidRPr="00B508CE">
        <w:rPr>
          <w:b/>
          <w:bCs/>
          <w:color w:val="000000"/>
        </w:rPr>
        <w:fldChar w:fldCharType="end"/>
      </w:r>
      <w:r w:rsidR="00376473">
        <w:rPr>
          <w:b/>
          <w:bCs/>
          <w:color w:val="000000"/>
        </w:rPr>
        <w:t>3</w:t>
      </w:r>
      <w:r w:rsidRPr="00B508CE">
        <w:rPr>
          <w:b/>
          <w:bCs/>
          <w:color w:val="000000"/>
        </w:rPr>
        <w:tab/>
      </w:r>
      <w:r w:rsidR="00BB56C0" w:rsidRPr="00BB56C0">
        <w:rPr>
          <w:b/>
          <w:bCs/>
        </w:rPr>
        <w:t>In case the split SRB2 RRC message contains both F1-C traffic and other information unrelated to IAB, the IAB-MT simply</w:t>
      </w:r>
      <w:r w:rsidR="00BB56C0">
        <w:rPr>
          <w:b/>
          <w:bCs/>
        </w:rPr>
        <w:t xml:space="preserve"> </w:t>
      </w:r>
      <w:r w:rsidR="00BB56C0" w:rsidRPr="00BB56C0">
        <w:rPr>
          <w:b/>
          <w:bCs/>
        </w:rPr>
        <w:t>follows the configuration of F1-C transfer path (if configured).</w:t>
      </w:r>
    </w:p>
    <w:p w14:paraId="4A415F1C" w14:textId="50B3C34E" w:rsidR="00B508CE" w:rsidRPr="00B508CE" w:rsidRDefault="00B508CE" w:rsidP="006F1F86">
      <w:pPr>
        <w:pStyle w:val="BodyText"/>
        <w:ind w:left="1701" w:hanging="1701"/>
        <w:rPr>
          <w:b/>
          <w:bCs/>
          <w:color w:val="000000"/>
        </w:rPr>
      </w:pPr>
    </w:p>
    <w:p w14:paraId="27B835A5" w14:textId="632843BD" w:rsidR="000A7D9A" w:rsidRPr="008944BF" w:rsidRDefault="000A7D9A" w:rsidP="00CE2630">
      <w:pPr>
        <w:pStyle w:val="BodyText"/>
        <w:snapToGrid w:val="0"/>
        <w:spacing w:line="268" w:lineRule="auto"/>
        <w:ind w:left="420"/>
        <w:contextualSpacing/>
        <w:rPr>
          <w:rFonts w:eastAsia="宋体"/>
          <w:color w:val="000000"/>
          <w:lang w:eastAsia="zh-CN"/>
        </w:rPr>
      </w:pPr>
      <w:bookmarkStart w:id="10" w:name="_GoBack"/>
      <w:bookmarkEnd w:id="5"/>
      <w:bookmarkEnd w:id="6"/>
      <w:bookmarkEnd w:id="10"/>
    </w:p>
    <w:sectPr w:rsidR="000A7D9A" w:rsidRPr="008944BF" w:rsidSect="009C480E">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9D1F1" w14:textId="77777777" w:rsidR="008765E0" w:rsidRDefault="008765E0">
      <w:r>
        <w:separator/>
      </w:r>
    </w:p>
  </w:endnote>
  <w:endnote w:type="continuationSeparator" w:id="0">
    <w:p w14:paraId="4FE9CB62" w14:textId="77777777" w:rsidR="008765E0" w:rsidRDefault="00876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959A5" w14:textId="77777777" w:rsidR="008765E0" w:rsidRDefault="008765E0">
      <w:r>
        <w:separator/>
      </w:r>
    </w:p>
  </w:footnote>
  <w:footnote w:type="continuationSeparator" w:id="0">
    <w:p w14:paraId="1A9208E8" w14:textId="77777777" w:rsidR="008765E0" w:rsidRDefault="00876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FD55"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5"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365E"/>
    <w:multiLevelType w:val="hybridMultilevel"/>
    <w:tmpl w:val="CF66288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21"/>
        </w:tabs>
        <w:ind w:left="-1621" w:hanging="360"/>
      </w:pPr>
      <w:rPr>
        <w:rFonts w:ascii="Symbol" w:hAnsi="Symbol" w:hint="default"/>
        <w:b/>
        <w:i w:val="0"/>
        <w:color w:val="auto"/>
        <w:sz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360"/>
        </w:tabs>
        <w:ind w:left="360" w:hanging="360"/>
      </w:pPr>
      <w:rPr>
        <w:rFonts w:ascii="Courier New" w:hAnsi="Courier New" w:cs="Courier New" w:hint="default"/>
      </w:rPr>
    </w:lvl>
    <w:lvl w:ilvl="5" w:tplc="04090005" w:tentative="1">
      <w:start w:val="1"/>
      <w:numFmt w:val="bullet"/>
      <w:lvlText w:val=""/>
      <w:lvlJc w:val="left"/>
      <w:pPr>
        <w:tabs>
          <w:tab w:val="num" w:pos="1080"/>
        </w:tabs>
        <w:ind w:left="108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2520"/>
        </w:tabs>
        <w:ind w:left="2520" w:hanging="360"/>
      </w:pPr>
      <w:rPr>
        <w:rFonts w:ascii="Courier New" w:hAnsi="Courier New" w:cs="Courier New" w:hint="default"/>
      </w:rPr>
    </w:lvl>
    <w:lvl w:ilvl="8" w:tplc="04090005" w:tentative="1">
      <w:start w:val="1"/>
      <w:numFmt w:val="bullet"/>
      <w:lvlText w:val=""/>
      <w:lvlJc w:val="left"/>
      <w:pPr>
        <w:tabs>
          <w:tab w:val="num" w:pos="3240"/>
        </w:tabs>
        <w:ind w:left="324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8"/>
  </w:num>
  <w:num w:numId="3">
    <w:abstractNumId w:val="14"/>
  </w:num>
  <w:num w:numId="4">
    <w:abstractNumId w:val="17"/>
  </w:num>
  <w:num w:numId="5">
    <w:abstractNumId w:val="15"/>
  </w:num>
  <w:num w:numId="6">
    <w:abstractNumId w:val="0"/>
  </w:num>
  <w:num w:numId="7">
    <w:abstractNumId w:val="3"/>
  </w:num>
  <w:num w:numId="8">
    <w:abstractNumId w:val="12"/>
  </w:num>
  <w:num w:numId="9">
    <w:abstractNumId w:val="7"/>
  </w:num>
  <w:num w:numId="10">
    <w:abstractNumId w:val="9"/>
  </w:num>
  <w:num w:numId="11">
    <w:abstractNumId w:val="1"/>
  </w:num>
  <w:num w:numId="12">
    <w:abstractNumId w:val="13"/>
  </w:num>
  <w:num w:numId="13">
    <w:abstractNumId w:val="10"/>
  </w:num>
  <w:num w:numId="14">
    <w:abstractNumId w:val="2"/>
  </w:num>
  <w:num w:numId="15">
    <w:abstractNumId w:val="4"/>
  </w:num>
  <w:num w:numId="16">
    <w:abstractNumId w:val="5"/>
  </w:num>
  <w:num w:numId="17">
    <w:abstractNumId w:val="11"/>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E7"/>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1D3A"/>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67F"/>
    <w:rsid w:val="00057B8F"/>
    <w:rsid w:val="00057BFD"/>
    <w:rsid w:val="00057CCE"/>
    <w:rsid w:val="00057EFA"/>
    <w:rsid w:val="00060087"/>
    <w:rsid w:val="0006022C"/>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996"/>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2E"/>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6DA"/>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7AE"/>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685"/>
    <w:rsid w:val="000E3C6B"/>
    <w:rsid w:val="000E3E9E"/>
    <w:rsid w:val="000E4629"/>
    <w:rsid w:val="000E47A1"/>
    <w:rsid w:val="000E47F5"/>
    <w:rsid w:val="000E52F0"/>
    <w:rsid w:val="000E5415"/>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9"/>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44D"/>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355"/>
    <w:rsid w:val="00181817"/>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513"/>
    <w:rsid w:val="001958D7"/>
    <w:rsid w:val="001963CF"/>
    <w:rsid w:val="00196DC5"/>
    <w:rsid w:val="00197004"/>
    <w:rsid w:val="001970DE"/>
    <w:rsid w:val="00197332"/>
    <w:rsid w:val="00197B2C"/>
    <w:rsid w:val="00197BBC"/>
    <w:rsid w:val="00197DE9"/>
    <w:rsid w:val="001A0275"/>
    <w:rsid w:val="001A181F"/>
    <w:rsid w:val="001A1A43"/>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049"/>
    <w:rsid w:val="00240150"/>
    <w:rsid w:val="00240555"/>
    <w:rsid w:val="00240743"/>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98"/>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5D33"/>
    <w:rsid w:val="003062B1"/>
    <w:rsid w:val="00306521"/>
    <w:rsid w:val="00306534"/>
    <w:rsid w:val="0030680B"/>
    <w:rsid w:val="00306BAC"/>
    <w:rsid w:val="00307478"/>
    <w:rsid w:val="00307518"/>
    <w:rsid w:val="003076DA"/>
    <w:rsid w:val="003077C4"/>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8A0"/>
    <w:rsid w:val="00336A20"/>
    <w:rsid w:val="0033748B"/>
    <w:rsid w:val="003374CB"/>
    <w:rsid w:val="0033752C"/>
    <w:rsid w:val="0033790D"/>
    <w:rsid w:val="0034028C"/>
    <w:rsid w:val="0034106F"/>
    <w:rsid w:val="003414FE"/>
    <w:rsid w:val="003417BB"/>
    <w:rsid w:val="00341A68"/>
    <w:rsid w:val="00341E5F"/>
    <w:rsid w:val="0034291E"/>
    <w:rsid w:val="00342966"/>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473"/>
    <w:rsid w:val="00376B9A"/>
    <w:rsid w:val="00376E8D"/>
    <w:rsid w:val="0037711F"/>
    <w:rsid w:val="003771A5"/>
    <w:rsid w:val="00377427"/>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13"/>
    <w:rsid w:val="0038772F"/>
    <w:rsid w:val="003877CD"/>
    <w:rsid w:val="00387831"/>
    <w:rsid w:val="003878A8"/>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60C"/>
    <w:rsid w:val="003C5637"/>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410"/>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19D"/>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79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57C"/>
    <w:rsid w:val="00467E75"/>
    <w:rsid w:val="00467EDA"/>
    <w:rsid w:val="004701D3"/>
    <w:rsid w:val="00470954"/>
    <w:rsid w:val="004709B8"/>
    <w:rsid w:val="00470C80"/>
    <w:rsid w:val="00471059"/>
    <w:rsid w:val="00471828"/>
    <w:rsid w:val="004720AF"/>
    <w:rsid w:val="0047224B"/>
    <w:rsid w:val="004722E7"/>
    <w:rsid w:val="0047237D"/>
    <w:rsid w:val="00472401"/>
    <w:rsid w:val="004724C4"/>
    <w:rsid w:val="004724F0"/>
    <w:rsid w:val="00472B7F"/>
    <w:rsid w:val="00472D22"/>
    <w:rsid w:val="00472FEA"/>
    <w:rsid w:val="00473AE0"/>
    <w:rsid w:val="00473AFD"/>
    <w:rsid w:val="00473B1A"/>
    <w:rsid w:val="00474346"/>
    <w:rsid w:val="00474526"/>
    <w:rsid w:val="00474956"/>
    <w:rsid w:val="00474B45"/>
    <w:rsid w:val="00474C3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BAE"/>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3CC"/>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65EA"/>
    <w:rsid w:val="004A7278"/>
    <w:rsid w:val="004A72D4"/>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A2D"/>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392"/>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1C4E"/>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701"/>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2C28"/>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9B6"/>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C33"/>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0DE8"/>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0D"/>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0EE"/>
    <w:rsid w:val="0068312C"/>
    <w:rsid w:val="00683272"/>
    <w:rsid w:val="0068333D"/>
    <w:rsid w:val="0068347F"/>
    <w:rsid w:val="006834AE"/>
    <w:rsid w:val="006834B8"/>
    <w:rsid w:val="0068352A"/>
    <w:rsid w:val="00683C70"/>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5"/>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1F86"/>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08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92E"/>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51F"/>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6EF"/>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1C23"/>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56"/>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281"/>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5E0"/>
    <w:rsid w:val="00876BAC"/>
    <w:rsid w:val="00876D36"/>
    <w:rsid w:val="00876FC0"/>
    <w:rsid w:val="00877201"/>
    <w:rsid w:val="00877329"/>
    <w:rsid w:val="00877511"/>
    <w:rsid w:val="00877F12"/>
    <w:rsid w:val="00877F76"/>
    <w:rsid w:val="00880157"/>
    <w:rsid w:val="00880819"/>
    <w:rsid w:val="00880880"/>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03"/>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3D54"/>
    <w:rsid w:val="008B40B2"/>
    <w:rsid w:val="008B495E"/>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CED"/>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1EE"/>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22B"/>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25E"/>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88D"/>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364"/>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536"/>
    <w:rsid w:val="00A076B4"/>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710"/>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5DCF"/>
    <w:rsid w:val="00A867B8"/>
    <w:rsid w:val="00A86AF0"/>
    <w:rsid w:val="00A87638"/>
    <w:rsid w:val="00A877AD"/>
    <w:rsid w:val="00A87888"/>
    <w:rsid w:val="00A87B07"/>
    <w:rsid w:val="00A87D2A"/>
    <w:rsid w:val="00A90496"/>
    <w:rsid w:val="00A9062C"/>
    <w:rsid w:val="00A90F82"/>
    <w:rsid w:val="00A916E4"/>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AF7"/>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32B"/>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57E"/>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88F"/>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8CE"/>
    <w:rsid w:val="00B50A1A"/>
    <w:rsid w:val="00B50E38"/>
    <w:rsid w:val="00B50FA2"/>
    <w:rsid w:val="00B51186"/>
    <w:rsid w:val="00B5171E"/>
    <w:rsid w:val="00B5186C"/>
    <w:rsid w:val="00B51BDF"/>
    <w:rsid w:val="00B51C31"/>
    <w:rsid w:val="00B521AB"/>
    <w:rsid w:val="00B522A1"/>
    <w:rsid w:val="00B52CFB"/>
    <w:rsid w:val="00B52D1A"/>
    <w:rsid w:val="00B539D3"/>
    <w:rsid w:val="00B53B14"/>
    <w:rsid w:val="00B53B29"/>
    <w:rsid w:val="00B53B67"/>
    <w:rsid w:val="00B53D45"/>
    <w:rsid w:val="00B53DC7"/>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491"/>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6C0"/>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7F2"/>
    <w:rsid w:val="00BC3A2F"/>
    <w:rsid w:val="00BC3AFC"/>
    <w:rsid w:val="00BC3E13"/>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A62"/>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52F2"/>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5DD4"/>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86B86"/>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52D"/>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59A"/>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1FC1"/>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6FF"/>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B4E"/>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346"/>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AA2"/>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2DB"/>
    <w:rsid w:val="00DF0879"/>
    <w:rsid w:val="00DF0976"/>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B06"/>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561"/>
    <w:rsid w:val="00E10643"/>
    <w:rsid w:val="00E106E9"/>
    <w:rsid w:val="00E10839"/>
    <w:rsid w:val="00E1085B"/>
    <w:rsid w:val="00E10AD8"/>
    <w:rsid w:val="00E1249C"/>
    <w:rsid w:val="00E12591"/>
    <w:rsid w:val="00E1261E"/>
    <w:rsid w:val="00E1271A"/>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61D"/>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C2B"/>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6CF"/>
    <w:rsid w:val="00EC47DC"/>
    <w:rsid w:val="00EC493C"/>
    <w:rsid w:val="00EC4948"/>
    <w:rsid w:val="00EC4F02"/>
    <w:rsid w:val="00EC5933"/>
    <w:rsid w:val="00EC5F06"/>
    <w:rsid w:val="00EC5F09"/>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441"/>
    <w:rsid w:val="00EF48C7"/>
    <w:rsid w:val="00EF4AC9"/>
    <w:rsid w:val="00EF4B78"/>
    <w:rsid w:val="00EF4F68"/>
    <w:rsid w:val="00EF5144"/>
    <w:rsid w:val="00EF5290"/>
    <w:rsid w:val="00EF5828"/>
    <w:rsid w:val="00EF58F7"/>
    <w:rsid w:val="00EF5D8D"/>
    <w:rsid w:val="00EF68D3"/>
    <w:rsid w:val="00EF6BE6"/>
    <w:rsid w:val="00EF7468"/>
    <w:rsid w:val="00EF7528"/>
    <w:rsid w:val="00EF7867"/>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749"/>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5E2"/>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C15"/>
    <w:rsid w:val="00F91D33"/>
    <w:rsid w:val="00F92774"/>
    <w:rsid w:val="00F92BE0"/>
    <w:rsid w:val="00F92C36"/>
    <w:rsid w:val="00F92CA3"/>
    <w:rsid w:val="00F92ECE"/>
    <w:rsid w:val="00F92F37"/>
    <w:rsid w:val="00F930E3"/>
    <w:rsid w:val="00F93352"/>
    <w:rsid w:val="00F9363F"/>
    <w:rsid w:val="00F93ACE"/>
    <w:rsid w:val="00F93E8B"/>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0D67"/>
    <w:rsid w:val="00FC10AB"/>
    <w:rsid w:val="00FC132E"/>
    <w:rsid w:val="00FC165F"/>
    <w:rsid w:val="00FC16EA"/>
    <w:rsid w:val="00FC1927"/>
    <w:rsid w:val="00FC19E0"/>
    <w:rsid w:val="00FC1BE3"/>
    <w:rsid w:val="00FC1CEA"/>
    <w:rsid w:val="00FC2196"/>
    <w:rsid w:val="00FC27AF"/>
    <w:rsid w:val="00FC2D0E"/>
    <w:rsid w:val="00FC31B4"/>
    <w:rsid w:val="00FC375C"/>
    <w:rsid w:val="00FC38E5"/>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12"/>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qFormat/>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qFormat/>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7408-4AE5-4047-BF14-A718F8F1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vivo(Boubacar)</cp:lastModifiedBy>
  <cp:revision>79</cp:revision>
  <cp:lastPrinted>2011-08-03T09:36:00Z</cp:lastPrinted>
  <dcterms:created xsi:type="dcterms:W3CDTF">2021-08-06T01:32:00Z</dcterms:created>
  <dcterms:modified xsi:type="dcterms:W3CDTF">2022-01-11T10:15:00Z</dcterms:modified>
</cp:coreProperties>
</file>